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9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2127"/>
        <w:gridCol w:w="1467"/>
        <w:gridCol w:w="1226"/>
        <w:gridCol w:w="3303"/>
      </w:tblGrid>
      <w:tr w:rsidR="003276AE" w:rsidRPr="00515975" w:rsidTr="003276AE">
        <w:tc>
          <w:tcPr>
            <w:tcW w:w="1191" w:type="dxa"/>
          </w:tcPr>
          <w:p w:rsidR="003276AE" w:rsidRDefault="003276AE" w:rsidP="00B300C8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73100" cy="654050"/>
                  <wp:effectExtent l="19050" t="0" r="0" b="0"/>
                  <wp:docPr id="22" name="Слика 2" descr="Transparentnost_Srb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parentnost_Srb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5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3276AE" w:rsidRPr="00EF60F0" w:rsidRDefault="003276AE" w:rsidP="00D10F7A">
            <w:pPr>
              <w:rPr>
                <w:rFonts w:ascii="Tahoma" w:hAnsi="Tahoma" w:cs="Tahoma"/>
                <w:noProof/>
                <w:color w:val="00006C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noProof/>
                <w:color w:val="00006C"/>
                <w:sz w:val="20"/>
                <w:szCs w:val="20"/>
              </w:rPr>
              <w:br/>
            </w:r>
            <w:r w:rsidRPr="00EF60F0">
              <w:rPr>
                <w:rFonts w:ascii="Tahoma" w:hAnsi="Tahoma" w:cs="Tahoma"/>
                <w:noProof/>
                <w:color w:val="00006C"/>
                <w:sz w:val="20"/>
                <w:szCs w:val="20"/>
              </w:rPr>
              <w:t>TRANSPARENTNOST</w:t>
            </w:r>
          </w:p>
          <w:p w:rsidR="003276AE" w:rsidRPr="00515975" w:rsidRDefault="003276AE" w:rsidP="00D10F7A">
            <w:pPr>
              <w:rPr>
                <w:noProof/>
                <w:lang w:val="ru-RU"/>
              </w:rPr>
            </w:pPr>
            <w:r w:rsidRPr="00EF60F0">
              <w:rPr>
                <w:rFonts w:ascii="Tahoma" w:hAnsi="Tahoma" w:cs="Tahoma"/>
                <w:noProof/>
                <w:color w:val="00006C"/>
                <w:sz w:val="20"/>
                <w:szCs w:val="20"/>
              </w:rPr>
              <w:t>SRBIJA</w:t>
            </w:r>
          </w:p>
        </w:tc>
        <w:tc>
          <w:tcPr>
            <w:tcW w:w="1467" w:type="dxa"/>
          </w:tcPr>
          <w:p w:rsidR="003276AE" w:rsidRPr="00515975" w:rsidRDefault="003276AE" w:rsidP="002F3D9A">
            <w:pPr>
              <w:rPr>
                <w:noProof/>
                <w:lang w:val="ru-RU"/>
              </w:rPr>
            </w:pPr>
          </w:p>
        </w:tc>
        <w:tc>
          <w:tcPr>
            <w:tcW w:w="1226" w:type="dxa"/>
          </w:tcPr>
          <w:p w:rsidR="003276AE" w:rsidRDefault="003276AE" w:rsidP="00B300C8">
            <w:pPr>
              <w:rPr>
                <w:noProof/>
              </w:rPr>
            </w:pPr>
          </w:p>
        </w:tc>
        <w:tc>
          <w:tcPr>
            <w:tcW w:w="3303" w:type="dxa"/>
            <w:vAlign w:val="center"/>
          </w:tcPr>
          <w:p w:rsidR="003276AE" w:rsidRPr="008D1FA9" w:rsidRDefault="003276AE" w:rsidP="003276AE">
            <w:pPr>
              <w:jc w:val="center"/>
              <w:rPr>
                <w:rFonts w:ascii="Tahoma" w:hAnsi="Tahoma" w:cs="Tahoma"/>
                <w:b/>
                <w:noProof/>
                <w:lang w:val="ru-RU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828800" cy="635000"/>
                  <wp:effectExtent l="19050" t="0" r="0" b="0"/>
                  <wp:docPr id="23" name="Слика 1" descr="logo koalic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oalic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6AE" w:rsidRPr="003276AE" w:rsidRDefault="00787077" w:rsidP="003276AE">
      <w:pPr>
        <w:pBdr>
          <w:top w:val="double" w:sz="6" w:space="2" w:color="auto"/>
        </w:pBdr>
        <w:rPr>
          <w:rFonts w:asciiTheme="majorHAnsi" w:hAnsiTheme="majorHAnsi"/>
          <w:noProof/>
          <w:color w:val="000000"/>
          <w:spacing w:val="-4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t xml:space="preserve">  </w:t>
      </w:r>
      <w:r w:rsidR="003276AE" w:rsidRPr="003276AE">
        <w:rPr>
          <w:rFonts w:asciiTheme="majorHAnsi" w:hAnsiTheme="majorHAnsi"/>
          <w:noProof/>
          <w:sz w:val="18"/>
          <w:szCs w:val="18"/>
        </w:rPr>
        <w:t xml:space="preserve"> 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</w:rPr>
        <w:t>www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  <w:lang w:val="ru-RU"/>
        </w:rPr>
        <w:t>.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</w:rPr>
        <w:t>transparentnost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  <w:lang w:val="ru-RU"/>
        </w:rPr>
        <w:t>.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</w:rPr>
        <w:t>org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  <w:lang w:val="ru-RU"/>
        </w:rPr>
        <w:t>.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</w:rPr>
        <w:t>rs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  <w:lang w:val="sr-Cyrl-CS"/>
        </w:rPr>
        <w:t xml:space="preserve"> 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</w:rPr>
        <w:t xml:space="preserve">                                                                                                          </w:t>
      </w:r>
      <w:r w:rsidR="003276AE">
        <w:rPr>
          <w:rFonts w:asciiTheme="majorHAnsi" w:hAnsiTheme="majorHAnsi"/>
          <w:noProof/>
          <w:color w:val="000000"/>
          <w:spacing w:val="-4"/>
          <w:sz w:val="18"/>
          <w:szCs w:val="18"/>
        </w:rPr>
        <w:t xml:space="preserve">                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</w:rPr>
        <w:t xml:space="preserve"> </w:t>
      </w:r>
      <w:r>
        <w:rPr>
          <w:rFonts w:asciiTheme="majorHAnsi" w:hAnsiTheme="majorHAnsi"/>
          <w:noProof/>
          <w:color w:val="000000"/>
          <w:spacing w:val="-4"/>
          <w:sz w:val="18"/>
          <w:szCs w:val="18"/>
        </w:rPr>
        <w:t xml:space="preserve">    </w:t>
      </w:r>
      <w:r w:rsidR="003276AE" w:rsidRPr="003276AE">
        <w:rPr>
          <w:rFonts w:asciiTheme="majorHAnsi" w:hAnsiTheme="majorHAnsi"/>
          <w:noProof/>
          <w:color w:val="000000"/>
          <w:spacing w:val="-4"/>
          <w:sz w:val="18"/>
          <w:szCs w:val="18"/>
        </w:rPr>
        <w:t xml:space="preserve">www.nadzor.org.rs     </w:t>
      </w:r>
    </w:p>
    <w:p w:rsidR="003276AE" w:rsidRDefault="003276AE" w:rsidP="007E49F9">
      <w:pPr>
        <w:spacing w:line="240" w:lineRule="auto"/>
        <w:rPr>
          <w:rFonts w:asciiTheme="majorHAnsi" w:hAnsiTheme="majorHAnsi"/>
        </w:rPr>
      </w:pPr>
    </w:p>
    <w:p w:rsidR="003276AE" w:rsidRDefault="003276AE" w:rsidP="007E49F9">
      <w:pPr>
        <w:spacing w:line="240" w:lineRule="auto"/>
        <w:rPr>
          <w:rFonts w:asciiTheme="majorHAnsi" w:hAnsiTheme="majorHAnsi"/>
        </w:rPr>
      </w:pPr>
    </w:p>
    <w:p w:rsidR="00FD3E93" w:rsidRPr="00C67B82" w:rsidRDefault="00FD3E93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 xml:space="preserve">Република Србија </w:t>
      </w:r>
    </w:p>
    <w:p w:rsidR="00FD3E93" w:rsidRPr="00C67B82" w:rsidRDefault="00FD3E93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>Уставни суд</w:t>
      </w:r>
    </w:p>
    <w:p w:rsidR="00FD3E93" w:rsidRPr="00C67B82" w:rsidRDefault="00FD3E93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број</w:t>
      </w:r>
      <w:proofErr w:type="gramEnd"/>
      <w:r w:rsidRPr="00C67B82">
        <w:rPr>
          <w:rFonts w:asciiTheme="majorHAnsi" w:hAnsiTheme="majorHAnsi"/>
        </w:rPr>
        <w:t xml:space="preserve"> I</w:t>
      </w:r>
      <w:r w:rsidR="007E49F9">
        <w:rPr>
          <w:rFonts w:asciiTheme="majorHAnsi" w:hAnsiTheme="majorHAnsi"/>
          <w:lang w:val="sr-Cyrl-CS"/>
        </w:rPr>
        <w:t>У</w:t>
      </w:r>
      <w:r w:rsidRPr="00C67B82">
        <w:rPr>
          <w:rFonts w:asciiTheme="majorHAnsi" w:hAnsiTheme="majorHAnsi"/>
        </w:rPr>
        <w:t>з-1061/2010</w:t>
      </w:r>
    </w:p>
    <w:p w:rsidR="00FD3E93" w:rsidRDefault="00FD3E93" w:rsidP="003276AE">
      <w:pPr>
        <w:rPr>
          <w:rFonts w:asciiTheme="majorHAnsi" w:hAnsiTheme="majorHAnsi"/>
          <w:lang w:val="sr-Cyrl-CS"/>
        </w:rPr>
      </w:pPr>
      <w:r w:rsidRPr="00C67B82">
        <w:rPr>
          <w:rFonts w:asciiTheme="majorHAnsi" w:hAnsiTheme="majorHAnsi"/>
        </w:rPr>
        <w:t>Београд</w:t>
      </w:r>
    </w:p>
    <w:p w:rsidR="007E49F9" w:rsidRDefault="007E49F9" w:rsidP="003276AE">
      <w:pPr>
        <w:rPr>
          <w:rFonts w:asciiTheme="majorHAnsi" w:hAnsiTheme="majorHAnsi"/>
          <w:lang w:val="sr-Cyrl-CS"/>
        </w:rPr>
      </w:pPr>
    </w:p>
    <w:p w:rsidR="007E49F9" w:rsidRPr="007E49F9" w:rsidRDefault="007E49F9" w:rsidP="003276AE">
      <w:pPr>
        <w:rPr>
          <w:rFonts w:asciiTheme="majorHAnsi" w:hAnsiTheme="majorHAnsi"/>
          <w:lang w:val="sr-Cyrl-CS"/>
        </w:rPr>
      </w:pPr>
    </w:p>
    <w:p w:rsidR="00FD3E93" w:rsidRDefault="00FD3E93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>Поштовани председниче и судије Уставног суда,</w:t>
      </w:r>
    </w:p>
    <w:p w:rsidR="003276AE" w:rsidRPr="002E5137" w:rsidRDefault="003276AE" w:rsidP="003276AE">
      <w:pPr>
        <w:rPr>
          <w:rFonts w:asciiTheme="majorHAnsi" w:hAnsiTheme="majorHAnsi"/>
          <w:lang w:val="sr-Cyrl-CS"/>
        </w:rPr>
      </w:pPr>
    </w:p>
    <w:p w:rsidR="00FD3E93" w:rsidRDefault="00FD3E93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овим</w:t>
      </w:r>
      <w:proofErr w:type="gramEnd"/>
      <w:r w:rsidRPr="00C67B82">
        <w:rPr>
          <w:rFonts w:asciiTheme="majorHAnsi" w:hAnsiTheme="majorHAnsi"/>
        </w:rPr>
        <w:t xml:space="preserve"> путем изражавамо захвалност због тога што је наша иницијатива за покретање поступка за оцену уставности и сагласности са потврђеним међународним уг</w:t>
      </w:r>
      <w:r w:rsidR="00477719">
        <w:rPr>
          <w:rFonts w:asciiTheme="majorHAnsi" w:hAnsiTheme="majorHAnsi"/>
        </w:rPr>
        <w:t xml:space="preserve">оворима одредаба члана 3. </w:t>
      </w:r>
      <w:proofErr w:type="gramStart"/>
      <w:r w:rsidR="00477719">
        <w:rPr>
          <w:rFonts w:asciiTheme="majorHAnsi" w:hAnsiTheme="majorHAnsi"/>
        </w:rPr>
        <w:t>ст</w:t>
      </w:r>
      <w:proofErr w:type="gramEnd"/>
      <w:r w:rsidR="00477719">
        <w:rPr>
          <w:rFonts w:asciiTheme="majorHAnsi" w:hAnsiTheme="majorHAnsi"/>
        </w:rPr>
        <w:t xml:space="preserve">. </w:t>
      </w:r>
      <w:proofErr w:type="gramStart"/>
      <w:r w:rsidR="00477719">
        <w:rPr>
          <w:rFonts w:asciiTheme="majorHAnsi" w:hAnsiTheme="majorHAnsi"/>
        </w:rPr>
        <w:t>2</w:t>
      </w:r>
      <w:r w:rsidRPr="00C67B82">
        <w:rPr>
          <w:rFonts w:asciiTheme="majorHAnsi" w:hAnsiTheme="majorHAnsi"/>
        </w:rPr>
        <w:t>, члана 3.</w:t>
      </w:r>
      <w:proofErr w:type="gramEnd"/>
      <w:r w:rsidRPr="00C67B82">
        <w:rPr>
          <w:rFonts w:asciiTheme="majorHAnsi" w:hAnsiTheme="majorHAnsi"/>
        </w:rPr>
        <w:t xml:space="preserve"> </w:t>
      </w:r>
      <w:proofErr w:type="gramStart"/>
      <w:r w:rsidRPr="00C67B82">
        <w:rPr>
          <w:rFonts w:asciiTheme="majorHAnsi" w:hAnsiTheme="majorHAnsi"/>
        </w:rPr>
        <w:t>и</w:t>
      </w:r>
      <w:proofErr w:type="gramEnd"/>
      <w:r w:rsidRPr="00C67B82">
        <w:rPr>
          <w:rFonts w:asciiTheme="majorHAnsi" w:hAnsiTheme="majorHAnsi"/>
        </w:rPr>
        <w:t xml:space="preserve"> члана 5. </w:t>
      </w:r>
      <w:proofErr w:type="gramStart"/>
      <w:r w:rsidRPr="00C67B82">
        <w:rPr>
          <w:rFonts w:asciiTheme="majorHAnsi" w:hAnsiTheme="majorHAnsi"/>
        </w:rPr>
        <w:t>ст</w:t>
      </w:r>
      <w:proofErr w:type="gramEnd"/>
      <w:r w:rsidRPr="00C67B82">
        <w:rPr>
          <w:rFonts w:asciiTheme="majorHAnsi" w:hAnsiTheme="majorHAnsi"/>
        </w:rPr>
        <w:t xml:space="preserve">. 1. </w:t>
      </w:r>
      <w:proofErr w:type="gramStart"/>
      <w:r w:rsidRPr="00C67B82">
        <w:rPr>
          <w:rFonts w:asciiTheme="majorHAnsi" w:hAnsiTheme="majorHAnsi"/>
        </w:rPr>
        <w:t>и</w:t>
      </w:r>
      <w:proofErr w:type="gramEnd"/>
      <w:r w:rsidRPr="00C67B82">
        <w:rPr>
          <w:rFonts w:asciiTheme="majorHAnsi" w:hAnsiTheme="majorHAnsi"/>
        </w:rPr>
        <w:t xml:space="preserve"> 5. </w:t>
      </w:r>
      <w:r w:rsidRPr="00D411E3">
        <w:rPr>
          <w:rFonts w:asciiTheme="majorHAnsi" w:hAnsiTheme="majorHAnsi"/>
          <w:lang w:val="sr-Cyrl-CS"/>
        </w:rPr>
        <w:t>Закона</w:t>
      </w:r>
      <w:r w:rsidRPr="00C67B82">
        <w:rPr>
          <w:rFonts w:asciiTheme="majorHAnsi" w:hAnsiTheme="majorHAnsi"/>
        </w:rPr>
        <w:t xml:space="preserve"> о подстицању грађевинске индустрије Републике Србије у условима економске кризе („Службени гласник </w:t>
      </w:r>
      <w:r w:rsidR="00D411E3">
        <w:rPr>
          <w:rFonts w:asciiTheme="majorHAnsi" w:hAnsiTheme="majorHAnsi"/>
          <w:lang w:val="sr-Cyrl-CS"/>
        </w:rPr>
        <w:t>РС</w:t>
      </w:r>
      <w:r w:rsidR="00D411E3" w:rsidRPr="00C67B82">
        <w:rPr>
          <w:rFonts w:asciiTheme="majorHAnsi" w:hAnsiTheme="majorHAnsi"/>
        </w:rPr>
        <w:t>“</w:t>
      </w:r>
      <w:r w:rsidR="00D411E3">
        <w:rPr>
          <w:rFonts w:asciiTheme="majorHAnsi" w:hAnsiTheme="majorHAnsi"/>
          <w:lang w:val="sr-Cyrl-CS"/>
        </w:rPr>
        <w:t xml:space="preserve">, </w:t>
      </w:r>
      <w:r w:rsidRPr="00C67B82">
        <w:rPr>
          <w:rFonts w:asciiTheme="majorHAnsi" w:hAnsiTheme="majorHAnsi"/>
        </w:rPr>
        <w:t xml:space="preserve">бр. </w:t>
      </w:r>
      <w:proofErr w:type="gramStart"/>
      <w:r w:rsidRPr="00C67B82">
        <w:rPr>
          <w:rFonts w:asciiTheme="majorHAnsi" w:hAnsiTheme="majorHAnsi"/>
        </w:rPr>
        <w:t>45/10, 99/11 и 121/12) узета у разматрање.</w:t>
      </w:r>
      <w:proofErr w:type="gramEnd"/>
      <w:r w:rsidRPr="00C67B82">
        <w:rPr>
          <w:rFonts w:asciiTheme="majorHAnsi" w:hAnsiTheme="majorHAnsi"/>
        </w:rPr>
        <w:t xml:space="preserve"> </w:t>
      </w:r>
      <w:proofErr w:type="gramStart"/>
      <w:r w:rsidRPr="00C67B82">
        <w:rPr>
          <w:rFonts w:asciiTheme="majorHAnsi" w:hAnsiTheme="majorHAnsi"/>
        </w:rPr>
        <w:t xml:space="preserve">Истина, </w:t>
      </w:r>
      <w:r w:rsidR="0035385E">
        <w:rPr>
          <w:rFonts w:asciiTheme="majorHAnsi" w:hAnsiTheme="majorHAnsi"/>
          <w:lang w:val="sr-Cyrl-CS"/>
        </w:rPr>
        <w:t>било би знатно боље</w:t>
      </w:r>
      <w:r w:rsidRPr="00C67B82">
        <w:rPr>
          <w:rFonts w:asciiTheme="majorHAnsi" w:hAnsiTheme="majorHAnsi"/>
        </w:rPr>
        <w:t xml:space="preserve"> да је то учињено </w:t>
      </w:r>
      <w:r w:rsidR="00701A5A" w:rsidRPr="00C67B82">
        <w:rPr>
          <w:rFonts w:asciiTheme="majorHAnsi" w:hAnsiTheme="majorHAnsi"/>
        </w:rPr>
        <w:t>раније</w:t>
      </w:r>
      <w:r w:rsidRPr="00C67B82">
        <w:rPr>
          <w:rFonts w:asciiTheme="majorHAnsi" w:hAnsiTheme="majorHAnsi"/>
        </w:rPr>
        <w:t xml:space="preserve">, имајући у виду </w:t>
      </w:r>
      <w:r w:rsidR="00701A5A" w:rsidRPr="00C67B82">
        <w:rPr>
          <w:rFonts w:asciiTheme="majorHAnsi" w:hAnsiTheme="majorHAnsi"/>
        </w:rPr>
        <w:t xml:space="preserve">прокламовану привременост важења </w:t>
      </w:r>
      <w:r w:rsidRPr="00C67B82">
        <w:rPr>
          <w:rFonts w:asciiTheme="majorHAnsi" w:hAnsiTheme="majorHAnsi"/>
        </w:rPr>
        <w:t>закона и могућност настанка штете услед његове примене</w:t>
      </w:r>
      <w:r w:rsidR="007230D7" w:rsidRPr="00C67B82">
        <w:rPr>
          <w:rFonts w:asciiTheme="majorHAnsi" w:hAnsiTheme="majorHAnsi"/>
        </w:rPr>
        <w:t>, на који смо указали</w:t>
      </w:r>
      <w:r w:rsidRPr="00C67B82">
        <w:rPr>
          <w:rFonts w:asciiTheme="majorHAnsi" w:hAnsiTheme="majorHAnsi"/>
        </w:rPr>
        <w:t>.</w:t>
      </w:r>
      <w:proofErr w:type="gramEnd"/>
      <w:r w:rsidR="002863DE">
        <w:rPr>
          <w:rStyle w:val="FootnoteReference"/>
          <w:rFonts w:asciiTheme="majorHAnsi" w:hAnsiTheme="majorHAnsi"/>
        </w:rPr>
        <w:footnoteReference w:id="1"/>
      </w:r>
      <w:r w:rsidRPr="00C67B82">
        <w:rPr>
          <w:rFonts w:asciiTheme="majorHAnsi" w:hAnsiTheme="majorHAnsi"/>
        </w:rPr>
        <w:t xml:space="preserve">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4E56B1" w:rsidRPr="00C67B82" w:rsidRDefault="00F276E8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Такође, изражавамо велико задовољство и због тога што је Уставни суд стао на становиште, које и ми делимо, да одредбе члана 4.</w:t>
      </w:r>
      <w:proofErr w:type="gramEnd"/>
      <w:r w:rsidRPr="00C67B82">
        <w:rPr>
          <w:rFonts w:asciiTheme="majorHAnsi" w:hAnsiTheme="majorHAnsi"/>
        </w:rPr>
        <w:t xml:space="preserve"> </w:t>
      </w:r>
      <w:proofErr w:type="gramStart"/>
      <w:r w:rsidRPr="00C67B82">
        <w:rPr>
          <w:rFonts w:asciiTheme="majorHAnsi" w:hAnsiTheme="majorHAnsi"/>
        </w:rPr>
        <w:t>ст</w:t>
      </w:r>
      <w:proofErr w:type="gramEnd"/>
      <w:r w:rsidRPr="00C67B82">
        <w:rPr>
          <w:rFonts w:asciiTheme="majorHAnsi" w:hAnsiTheme="majorHAnsi"/>
        </w:rPr>
        <w:t xml:space="preserve">. 1. </w:t>
      </w:r>
      <w:proofErr w:type="gramStart"/>
      <w:r w:rsidRPr="00C67B82">
        <w:rPr>
          <w:rFonts w:asciiTheme="majorHAnsi" w:hAnsiTheme="majorHAnsi"/>
        </w:rPr>
        <w:t>и</w:t>
      </w:r>
      <w:proofErr w:type="gramEnd"/>
      <w:r w:rsidRPr="00C67B82">
        <w:rPr>
          <w:rFonts w:asciiTheme="majorHAnsi" w:hAnsiTheme="majorHAnsi"/>
        </w:rPr>
        <w:t xml:space="preserve"> члана 194. </w:t>
      </w:r>
      <w:proofErr w:type="gramStart"/>
      <w:r w:rsidRPr="00C67B82">
        <w:rPr>
          <w:rFonts w:asciiTheme="majorHAnsi" w:hAnsiTheme="majorHAnsi"/>
        </w:rPr>
        <w:t>ст</w:t>
      </w:r>
      <w:proofErr w:type="gramEnd"/>
      <w:r w:rsidRPr="00C67B82">
        <w:rPr>
          <w:rFonts w:asciiTheme="majorHAnsi" w:hAnsiTheme="majorHAnsi"/>
        </w:rPr>
        <w:t>. 1. Устава, „које утврђују начело јединственог правног поретка, указује да ово начело налаже да основни принципи и правни институти предвиђени зако</w:t>
      </w:r>
      <w:r w:rsidR="004E56B1" w:rsidRPr="00C67B82">
        <w:rPr>
          <w:rFonts w:asciiTheme="majorHAnsi" w:hAnsiTheme="majorHAnsi"/>
        </w:rPr>
        <w:t>н</w:t>
      </w:r>
      <w:r w:rsidRPr="00C67B82">
        <w:rPr>
          <w:rFonts w:asciiTheme="majorHAnsi" w:hAnsiTheme="majorHAnsi"/>
        </w:rPr>
        <w:t>има којима се на системски начин уређује једна област друштвених односа буду испоштовани у посебним законима, осим ако је тим системским законом изричито прописана могућност другачијег уређивања истих питања“</w:t>
      </w:r>
      <w:r w:rsidR="004E56B1" w:rsidRPr="00C67B82">
        <w:rPr>
          <w:rFonts w:asciiTheme="majorHAnsi" w:hAnsiTheme="majorHAnsi"/>
        </w:rPr>
        <w:t xml:space="preserve">. </w:t>
      </w:r>
      <w:proofErr w:type="gramStart"/>
      <w:r w:rsidR="004E56B1" w:rsidRPr="00C67B82">
        <w:rPr>
          <w:rFonts w:asciiTheme="majorHAnsi" w:hAnsiTheme="majorHAnsi"/>
        </w:rPr>
        <w:t>То становиште је управо и била наша главна упоришна тачка у оспоравању уставности поменутог закона.</w:t>
      </w:r>
      <w:proofErr w:type="gramEnd"/>
      <w:r w:rsidR="004E56B1" w:rsidRPr="00C67B82">
        <w:rPr>
          <w:rFonts w:asciiTheme="majorHAnsi" w:hAnsiTheme="majorHAnsi"/>
        </w:rPr>
        <w:t xml:space="preserve"> </w:t>
      </w:r>
      <w:proofErr w:type="gramStart"/>
      <w:r w:rsidR="004E56B1" w:rsidRPr="00C67B82">
        <w:rPr>
          <w:rFonts w:asciiTheme="majorHAnsi" w:hAnsiTheme="majorHAnsi"/>
        </w:rPr>
        <w:t>С друге стане, грубо нарушавање начела успостављених системским Законом о јавним набавкама ради остваривања сумњивих краткорочних користи био је наш главни мотив за упућивање иницијативе.</w:t>
      </w:r>
      <w:proofErr w:type="gramEnd"/>
    </w:p>
    <w:p w:rsidR="00E34846" w:rsidRDefault="00E34846" w:rsidP="003276AE">
      <w:pPr>
        <w:rPr>
          <w:rFonts w:asciiTheme="majorHAnsi" w:hAnsiTheme="majorHAnsi"/>
          <w:lang w:val="sr-Cyrl-RS"/>
        </w:rPr>
      </w:pPr>
    </w:p>
    <w:p w:rsidR="007230D7" w:rsidRDefault="004E56B1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Међутим,</w:t>
      </w:r>
      <w:r w:rsidR="009068E5">
        <w:rPr>
          <w:rFonts w:asciiTheme="majorHAnsi" w:hAnsiTheme="majorHAnsi"/>
          <w:lang w:val="sr-Cyrl-CS"/>
        </w:rPr>
        <w:t xml:space="preserve"> </w:t>
      </w:r>
      <w:r w:rsidR="00701A5A" w:rsidRPr="00C67B82">
        <w:rPr>
          <w:rFonts w:asciiTheme="majorHAnsi" w:hAnsiTheme="majorHAnsi"/>
        </w:rPr>
        <w:t>непријатно</w:t>
      </w:r>
      <w:r w:rsidRPr="00C67B82">
        <w:rPr>
          <w:rFonts w:asciiTheme="majorHAnsi" w:hAnsiTheme="majorHAnsi"/>
        </w:rPr>
        <w:t xml:space="preserve"> смо </w:t>
      </w:r>
      <w:r w:rsidR="00701A5A" w:rsidRPr="00C67B82">
        <w:rPr>
          <w:rFonts w:asciiTheme="majorHAnsi" w:hAnsiTheme="majorHAnsi"/>
        </w:rPr>
        <w:t xml:space="preserve">изненађени тиме што </w:t>
      </w:r>
      <w:r w:rsidRPr="00C67B82">
        <w:rPr>
          <w:rFonts w:asciiTheme="majorHAnsi" w:hAnsiTheme="majorHAnsi"/>
        </w:rPr>
        <w:t>је Уставни суд пропустио да кршење нач</w:t>
      </w:r>
      <w:r w:rsidR="007230D7" w:rsidRPr="00C67B82">
        <w:rPr>
          <w:rFonts w:asciiTheme="majorHAnsi" w:hAnsiTheme="majorHAnsi"/>
        </w:rPr>
        <w:t>ела јединства правног поретка утврди у случају оспореног закона</w:t>
      </w:r>
      <w:r w:rsidRPr="00C67B82">
        <w:rPr>
          <w:rFonts w:asciiTheme="majorHAnsi" w:hAnsiTheme="majorHAnsi"/>
        </w:rPr>
        <w:t>.</w:t>
      </w:r>
      <w:proofErr w:type="gramEnd"/>
      <w:r w:rsidRPr="00C67B82">
        <w:rPr>
          <w:rFonts w:asciiTheme="majorHAnsi" w:hAnsiTheme="majorHAnsi"/>
        </w:rPr>
        <w:t xml:space="preserve"> </w:t>
      </w:r>
      <w:r w:rsidR="007230D7" w:rsidRPr="00C67B82">
        <w:rPr>
          <w:rFonts w:asciiTheme="majorHAnsi" w:hAnsiTheme="majorHAnsi"/>
        </w:rPr>
        <w:t>Бићемо слободни да разматрања на ову тему, за која сматрамо да могу бити од далекосеж</w:t>
      </w:r>
      <w:r w:rsidR="00D16E2C">
        <w:rPr>
          <w:rFonts w:asciiTheme="majorHAnsi" w:hAnsiTheme="majorHAnsi"/>
          <w:lang w:val="sr-Cyrl-CS"/>
        </w:rPr>
        <w:t>н</w:t>
      </w:r>
      <w:r w:rsidR="007230D7" w:rsidRPr="00C67B82">
        <w:rPr>
          <w:rFonts w:asciiTheme="majorHAnsi" w:hAnsiTheme="majorHAnsi"/>
        </w:rPr>
        <w:t xml:space="preserve">ог значаја за </w:t>
      </w:r>
      <w:proofErr w:type="gramStart"/>
      <w:r w:rsidR="007230D7" w:rsidRPr="00C67B82">
        <w:rPr>
          <w:rFonts w:asciiTheme="majorHAnsi" w:hAnsiTheme="majorHAnsi"/>
        </w:rPr>
        <w:t>будући</w:t>
      </w:r>
      <w:proofErr w:type="gramEnd"/>
      <w:r w:rsidR="007230D7" w:rsidRPr="00C67B82">
        <w:rPr>
          <w:rFonts w:asciiTheme="majorHAnsi" w:hAnsiTheme="majorHAnsi"/>
        </w:rPr>
        <w:t xml:space="preserve"> рад ваше институције и изградњу правне државе у Републици Србији изложимо у неколико тачака: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7230D7" w:rsidRPr="00EE474B" w:rsidRDefault="00A814A2" w:rsidP="003276AE">
      <w:pPr>
        <w:rPr>
          <w:rFonts w:asciiTheme="majorHAnsi" w:hAnsiTheme="majorHAnsi"/>
          <w:i/>
        </w:rPr>
      </w:pPr>
      <w:r w:rsidRPr="00EE474B">
        <w:rPr>
          <w:rFonts w:asciiTheme="majorHAnsi" w:hAnsiTheme="majorHAnsi"/>
          <w:i/>
          <w:lang w:val="sr-Cyrl-CS"/>
        </w:rPr>
        <w:t xml:space="preserve">1. </w:t>
      </w:r>
      <w:r w:rsidR="007230D7" w:rsidRPr="00EE474B">
        <w:rPr>
          <w:rFonts w:asciiTheme="majorHAnsi" w:hAnsiTheme="majorHAnsi"/>
          <w:i/>
        </w:rPr>
        <w:t>Непостојање изузетка у Закону о јавним набавкама</w:t>
      </w:r>
    </w:p>
    <w:p w:rsidR="003276AE" w:rsidRDefault="003276AE" w:rsidP="003276AE">
      <w:pPr>
        <w:rPr>
          <w:rFonts w:asciiTheme="majorHAnsi" w:hAnsiTheme="majorHAnsi"/>
        </w:rPr>
      </w:pPr>
    </w:p>
    <w:p w:rsidR="000D0886" w:rsidRDefault="004E56B1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За почетак, полазећи од одлично формулисаног исказа који је дао Уставни суд, требало је утврдити да ли је Закон о јавним набавкама, као системски, предвидео могућност доношења других, трајних или привремених закона који би му били супротни.</w:t>
      </w:r>
      <w:proofErr w:type="gramEnd"/>
      <w:r w:rsidRPr="00C67B82">
        <w:rPr>
          <w:rFonts w:asciiTheme="majorHAnsi" w:hAnsiTheme="majorHAnsi"/>
        </w:rPr>
        <w:t xml:space="preserve"> Одговор је јасан: није. </w:t>
      </w:r>
      <w:proofErr w:type="gramStart"/>
      <w:r w:rsidR="007230D7" w:rsidRPr="00C67B82">
        <w:rPr>
          <w:rFonts w:asciiTheme="majorHAnsi" w:hAnsiTheme="majorHAnsi"/>
        </w:rPr>
        <w:t>С</w:t>
      </w:r>
      <w:r w:rsidR="00152510" w:rsidRPr="00C67B82">
        <w:rPr>
          <w:rFonts w:asciiTheme="majorHAnsi" w:hAnsiTheme="majorHAnsi"/>
        </w:rPr>
        <w:t>амим З</w:t>
      </w:r>
      <w:r w:rsidRPr="00C67B82">
        <w:rPr>
          <w:rFonts w:asciiTheme="majorHAnsi" w:hAnsiTheme="majorHAnsi"/>
        </w:rPr>
        <w:t xml:space="preserve">аконом </w:t>
      </w:r>
      <w:r w:rsidR="00152510" w:rsidRPr="00C67B82">
        <w:rPr>
          <w:rFonts w:asciiTheme="majorHAnsi" w:hAnsiTheme="majorHAnsi"/>
        </w:rPr>
        <w:t xml:space="preserve">о јавним набавкама </w:t>
      </w:r>
      <w:r w:rsidRPr="00C67B82">
        <w:rPr>
          <w:rFonts w:asciiTheme="majorHAnsi" w:hAnsiTheme="majorHAnsi"/>
        </w:rPr>
        <w:t xml:space="preserve">су изричито </w:t>
      </w:r>
      <w:r w:rsidR="00152510" w:rsidRPr="00C67B82">
        <w:rPr>
          <w:rFonts w:asciiTheme="majorHAnsi" w:hAnsiTheme="majorHAnsi"/>
        </w:rPr>
        <w:t xml:space="preserve">побројани </w:t>
      </w:r>
      <w:r w:rsidRPr="00C67B82">
        <w:rPr>
          <w:rFonts w:asciiTheme="majorHAnsi" w:hAnsiTheme="majorHAnsi"/>
        </w:rPr>
        <w:t>случајеви када се он неће примењивати</w:t>
      </w:r>
      <w:r w:rsidR="00152510" w:rsidRPr="00C67B82">
        <w:rPr>
          <w:rFonts w:asciiTheme="majorHAnsi" w:hAnsiTheme="majorHAnsi"/>
        </w:rPr>
        <w:t xml:space="preserve"> а побројане су и ситуације у којима се уместо редовне тендерске процедуре, која је правило, може применити преговарачки поступак.</w:t>
      </w:r>
      <w:proofErr w:type="gramEnd"/>
      <w:r w:rsidR="00152510" w:rsidRPr="00C67B82">
        <w:rPr>
          <w:rFonts w:asciiTheme="majorHAnsi" w:hAnsiTheme="majorHAnsi"/>
        </w:rPr>
        <w:t xml:space="preserve"> </w:t>
      </w:r>
      <w:r w:rsidR="00D1362F" w:rsidRPr="00C67B82">
        <w:rPr>
          <w:rFonts w:asciiTheme="majorHAnsi" w:hAnsiTheme="majorHAnsi"/>
        </w:rPr>
        <w:t>„Светска економска криза</w:t>
      </w:r>
      <w:proofErr w:type="gramStart"/>
      <w:r w:rsidR="00D1362F" w:rsidRPr="00C67B82">
        <w:rPr>
          <w:rFonts w:asciiTheme="majorHAnsi" w:hAnsiTheme="majorHAnsi"/>
        </w:rPr>
        <w:t>“ и</w:t>
      </w:r>
      <w:proofErr w:type="gramEnd"/>
      <w:r w:rsidR="00D1362F" w:rsidRPr="00C67B82">
        <w:rPr>
          <w:rFonts w:asciiTheme="majorHAnsi" w:hAnsiTheme="majorHAnsi"/>
        </w:rPr>
        <w:t xml:space="preserve"> њен утицај на одређену привредну грану у Србији се не може подвести ни под један од изузетака који су прописани у </w:t>
      </w:r>
      <w:r w:rsidR="007230D7" w:rsidRPr="00C67B82">
        <w:rPr>
          <w:rFonts w:asciiTheme="majorHAnsi" w:hAnsiTheme="majorHAnsi"/>
        </w:rPr>
        <w:t xml:space="preserve">члану 7. </w:t>
      </w:r>
      <w:proofErr w:type="gramStart"/>
      <w:r w:rsidR="007230D7" w:rsidRPr="00C67B82">
        <w:rPr>
          <w:rFonts w:asciiTheme="majorHAnsi" w:hAnsiTheme="majorHAnsi"/>
        </w:rPr>
        <w:t>Закона</w:t>
      </w:r>
      <w:r w:rsidR="00D1362F" w:rsidRPr="00C67B82">
        <w:rPr>
          <w:rFonts w:asciiTheme="majorHAnsi" w:hAnsiTheme="majorHAnsi"/>
        </w:rPr>
        <w:t xml:space="preserve"> о јавним набавкама.</w:t>
      </w:r>
      <w:proofErr w:type="gramEnd"/>
      <w:r w:rsidR="00D1362F" w:rsidRPr="00C67B82">
        <w:rPr>
          <w:rFonts w:asciiTheme="majorHAnsi" w:hAnsiTheme="majorHAnsi"/>
        </w:rPr>
        <w:t xml:space="preserve"> </w:t>
      </w:r>
      <w:r w:rsidR="00152510" w:rsidRPr="00C67B82">
        <w:rPr>
          <w:rFonts w:asciiTheme="majorHAnsi" w:hAnsiTheme="majorHAnsi"/>
        </w:rPr>
        <w:t xml:space="preserve">Сама ова чињеница, по нашем мишљењу, а у вези са цитираним ставом Уставног суда, требало је да </w:t>
      </w:r>
      <w:r w:rsidR="00152510" w:rsidRPr="00C67B82">
        <w:rPr>
          <w:rFonts w:asciiTheme="majorHAnsi" w:hAnsiTheme="majorHAnsi"/>
        </w:rPr>
        <w:lastRenderedPageBreak/>
        <w:t>буде довољна да се закључи како оспорени закон не може бити у</w:t>
      </w:r>
      <w:r w:rsidR="000D0886" w:rsidRPr="00C67B82">
        <w:rPr>
          <w:rFonts w:asciiTheme="majorHAnsi" w:hAnsiTheme="majorHAnsi"/>
        </w:rPr>
        <w:t>саглашен</w:t>
      </w:r>
      <w:r w:rsidR="00152510" w:rsidRPr="00C67B82">
        <w:rPr>
          <w:rFonts w:asciiTheme="majorHAnsi" w:hAnsiTheme="majorHAnsi"/>
        </w:rPr>
        <w:t xml:space="preserve"> са уставним начелом јединства правног поретка</w:t>
      </w:r>
      <w:r w:rsidR="007230D7" w:rsidRPr="00C67B82">
        <w:rPr>
          <w:rFonts w:asciiTheme="majorHAnsi" w:hAnsiTheme="majorHAnsi"/>
        </w:rPr>
        <w:t>, без обзира на било који други аргумент правне или ванправне природе</w:t>
      </w:r>
      <w:r w:rsidR="00152510" w:rsidRPr="00C67B82">
        <w:rPr>
          <w:rFonts w:asciiTheme="majorHAnsi" w:hAnsiTheme="majorHAnsi"/>
        </w:rPr>
        <w:t xml:space="preserve">.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D1362F" w:rsidRDefault="00D1362F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>Разлози за изузетак од општег режима, који се могу наћи у Закону о јавним набавк</w:t>
      </w:r>
      <w:r w:rsidR="00701A5A" w:rsidRPr="00C67B82">
        <w:rPr>
          <w:rFonts w:asciiTheme="majorHAnsi" w:hAnsiTheme="majorHAnsi"/>
        </w:rPr>
        <w:t>ама, а који су иоле слични прокламованим</w:t>
      </w:r>
      <w:r w:rsidRPr="00C67B82">
        <w:rPr>
          <w:rFonts w:asciiTheme="majorHAnsi" w:hAnsiTheme="majorHAnsi"/>
        </w:rPr>
        <w:t xml:space="preserve"> разлозима за доношење </w:t>
      </w:r>
      <w:r w:rsidRPr="00C67B82">
        <w:rPr>
          <w:rFonts w:asciiTheme="majorHAnsi" w:hAnsiTheme="majorHAnsi"/>
          <w:i/>
        </w:rPr>
        <w:t>Закона о подстицању грађевинске индустрије Републике Србије у условима економске кризе</w:t>
      </w:r>
      <w:r w:rsidRPr="00C67B82">
        <w:rPr>
          <w:rFonts w:asciiTheme="majorHAnsi" w:hAnsiTheme="majorHAnsi"/>
        </w:rPr>
        <w:t xml:space="preserve"> су следећи: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BF5516" w:rsidRPr="009F7D26" w:rsidRDefault="00BF5516" w:rsidP="003276AE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/>
          <w:noProof/>
        </w:rPr>
      </w:pPr>
      <w:r w:rsidRPr="009F7D26">
        <w:rPr>
          <w:rFonts w:asciiTheme="majorHAnsi" w:hAnsiTheme="majorHAnsi"/>
          <w:noProof/>
        </w:rPr>
        <w:t xml:space="preserve">ради обезбеђивања основних животних услова у случајевима елементарних </w:t>
      </w:r>
      <w:r w:rsidRPr="003276AE">
        <w:rPr>
          <w:rFonts w:asciiTheme="majorHAnsi" w:hAnsiTheme="majorHAnsi"/>
          <w:i/>
          <w:noProof/>
        </w:rPr>
        <w:t>непогода, других несрећа или хаварија, у складу са прописима којима се уређује заштита</w:t>
      </w:r>
      <w:r w:rsidRPr="009F7D26">
        <w:rPr>
          <w:rFonts w:asciiTheme="majorHAnsi" w:hAnsiTheme="majorHAnsi"/>
          <w:noProof/>
        </w:rPr>
        <w:t xml:space="preserve"> од таквих непогода, несрећа односно хаварија</w:t>
      </w:r>
      <w:r w:rsidR="009F7D26" w:rsidRPr="009F7D26">
        <w:rPr>
          <w:rFonts w:asciiTheme="majorHAnsi" w:hAnsiTheme="majorHAnsi"/>
          <w:noProof/>
        </w:rPr>
        <w:t>(члан 7</w:t>
      </w:r>
      <w:r w:rsidR="00616EC6">
        <w:rPr>
          <w:rFonts w:asciiTheme="majorHAnsi" w:hAnsiTheme="majorHAnsi"/>
          <w:noProof/>
          <w:lang w:val="sr-Cyrl-CS"/>
        </w:rPr>
        <w:t>.</w:t>
      </w:r>
      <w:r w:rsidR="009F7D26" w:rsidRPr="009F7D26">
        <w:rPr>
          <w:rFonts w:asciiTheme="majorHAnsi" w:hAnsiTheme="majorHAnsi"/>
          <w:noProof/>
        </w:rPr>
        <w:t xml:space="preserve"> ст.1.</w:t>
      </w:r>
      <w:r w:rsidR="009F7D26" w:rsidRPr="009F7D26">
        <w:rPr>
          <w:rFonts w:asciiTheme="majorHAnsi" w:hAnsiTheme="majorHAnsi"/>
          <w:noProof/>
          <w:lang w:val="sr-Cyrl-CS"/>
        </w:rPr>
        <w:t xml:space="preserve"> т.3</w:t>
      </w:r>
      <w:r w:rsidR="009F7D26" w:rsidRPr="009F7D26">
        <w:rPr>
          <w:rFonts w:asciiTheme="majorHAnsi" w:hAnsiTheme="majorHAnsi"/>
          <w:noProof/>
        </w:rPr>
        <w:t>)</w:t>
      </w:r>
      <w:r w:rsidRPr="009F7D26">
        <w:rPr>
          <w:rFonts w:asciiTheme="majorHAnsi" w:hAnsiTheme="majorHAnsi"/>
          <w:noProof/>
        </w:rPr>
        <w:t>;</w:t>
      </w:r>
    </w:p>
    <w:p w:rsidR="00BF5516" w:rsidRPr="003276AE" w:rsidRDefault="00BF5516" w:rsidP="003276AE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/>
          <w:noProof/>
          <w:lang w:val="sr-Cyrl-CS"/>
        </w:rPr>
      </w:pPr>
      <w:r w:rsidRPr="009F7D26">
        <w:rPr>
          <w:rFonts w:asciiTheme="majorHAnsi" w:hAnsiTheme="majorHAnsi"/>
          <w:noProof/>
        </w:rPr>
        <w:t>ако због изузетне хитности проузроковане ванредним околностима или непредвиђеним догађајима, чије наступање ни у ком случају не зависи од воље наручиоца, наручилац није могао да поступи у роковима одређеним за отворени или рестриктивни поступак</w:t>
      </w:r>
      <w:r w:rsidR="009F7D26" w:rsidRPr="009F7D26">
        <w:rPr>
          <w:rFonts w:asciiTheme="majorHAnsi" w:hAnsiTheme="majorHAnsi"/>
          <w:noProof/>
          <w:lang w:val="sr-Cyrl-CS"/>
        </w:rPr>
        <w:t xml:space="preserve"> </w:t>
      </w:r>
      <w:r w:rsidR="009F7D26" w:rsidRPr="009F7D26">
        <w:rPr>
          <w:rFonts w:asciiTheme="majorHAnsi" w:hAnsiTheme="majorHAnsi"/>
          <w:noProof/>
        </w:rPr>
        <w:t xml:space="preserve">(члан 24. ст. 1. т. </w:t>
      </w:r>
      <w:r w:rsidR="00616EC6">
        <w:rPr>
          <w:rFonts w:asciiTheme="majorHAnsi" w:hAnsiTheme="majorHAnsi"/>
          <w:noProof/>
          <w:lang w:val="sr-Cyrl-CS"/>
        </w:rPr>
        <w:t>4</w:t>
      </w:r>
      <w:r w:rsidR="009F7D26" w:rsidRPr="009F7D26">
        <w:rPr>
          <w:rFonts w:asciiTheme="majorHAnsi" w:hAnsiTheme="majorHAnsi"/>
          <w:noProof/>
        </w:rPr>
        <w:t>)</w:t>
      </w:r>
      <w:r w:rsidR="009F7D26" w:rsidRPr="009F7D26">
        <w:rPr>
          <w:rFonts w:asciiTheme="majorHAnsi" w:hAnsiTheme="majorHAnsi"/>
          <w:noProof/>
          <w:lang w:val="sr-Cyrl-CS"/>
        </w:rPr>
        <w:t>.</w:t>
      </w:r>
    </w:p>
    <w:p w:rsidR="003276AE" w:rsidRPr="003276AE" w:rsidRDefault="003276AE" w:rsidP="003276AE">
      <w:pPr>
        <w:rPr>
          <w:rFonts w:asciiTheme="majorHAnsi" w:hAnsiTheme="majorHAnsi"/>
          <w:noProof/>
          <w:lang w:val="sr-Cyrl-CS"/>
        </w:rPr>
      </w:pPr>
    </w:p>
    <w:p w:rsidR="00BC1FD9" w:rsidRDefault="00D1362F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У првом наведеном случају Закон о јавним набавкама се уопште не примењује.</w:t>
      </w:r>
      <w:proofErr w:type="gramEnd"/>
      <w:r w:rsidRPr="00C67B82">
        <w:rPr>
          <w:rFonts w:asciiTheme="majorHAnsi" w:hAnsiTheme="majorHAnsi"/>
        </w:rPr>
        <w:t xml:space="preserve"> </w:t>
      </w:r>
      <w:r w:rsidR="004E5B12" w:rsidRPr="00C67B82">
        <w:rPr>
          <w:rFonts w:asciiTheme="majorHAnsi" w:hAnsiTheme="majorHAnsi"/>
        </w:rPr>
        <w:t>Али, као што се може видети, да би се такав изузетак применио, било би потребно и званично, на основу неког прописа, одредити да „светска економска криза“ представља „другу несрећу“</w:t>
      </w:r>
      <w:r w:rsidR="00BC1FD9" w:rsidRPr="00C67B82">
        <w:rPr>
          <w:rFonts w:asciiTheme="majorHAnsi" w:hAnsiTheme="majorHAnsi"/>
        </w:rPr>
        <w:t xml:space="preserve"> (</w:t>
      </w:r>
      <w:r w:rsidR="004E5B12" w:rsidRPr="00C67B82">
        <w:rPr>
          <w:rFonts w:asciiTheme="majorHAnsi" w:hAnsiTheme="majorHAnsi"/>
        </w:rPr>
        <w:t xml:space="preserve">осим елементарних непогода и хаварија), што би можда и било могуће прописати. Међутим, </w:t>
      </w:r>
      <w:r w:rsidR="00BC1FD9" w:rsidRPr="00C67B82">
        <w:rPr>
          <w:rFonts w:asciiTheme="majorHAnsi" w:hAnsiTheme="majorHAnsi"/>
        </w:rPr>
        <w:t>би</w:t>
      </w:r>
      <w:r w:rsidR="00701A5A" w:rsidRPr="00C67B82">
        <w:rPr>
          <w:rFonts w:asciiTheme="majorHAnsi" w:hAnsiTheme="majorHAnsi"/>
        </w:rPr>
        <w:t>ло би потребно да изузетак оствари</w:t>
      </w:r>
      <w:r w:rsidR="00BC1FD9" w:rsidRPr="00C67B82">
        <w:rPr>
          <w:rFonts w:asciiTheme="majorHAnsi" w:hAnsiTheme="majorHAnsi"/>
        </w:rPr>
        <w:t xml:space="preserve"> и услов „обезбеђивања основних животних услова“, што вероватно не би било могуће учинити у ситуацији када се набављају радови изградње базена, </w:t>
      </w:r>
      <w:r w:rsidR="00701A5A" w:rsidRPr="00C67B82">
        <w:rPr>
          <w:rFonts w:asciiTheme="majorHAnsi" w:hAnsiTheme="majorHAnsi"/>
        </w:rPr>
        <w:t>реконструкције стадиона</w:t>
      </w:r>
      <w:r w:rsidR="00BC1FD9" w:rsidRPr="00C67B82">
        <w:rPr>
          <w:rFonts w:asciiTheme="majorHAnsi" w:hAnsiTheme="majorHAnsi"/>
        </w:rPr>
        <w:t xml:space="preserve"> или </w:t>
      </w:r>
      <w:r w:rsidR="00701A5A" w:rsidRPr="00C67B82">
        <w:rPr>
          <w:rFonts w:asciiTheme="majorHAnsi" w:hAnsiTheme="majorHAnsi"/>
        </w:rPr>
        <w:t xml:space="preserve">изградња </w:t>
      </w:r>
      <w:r w:rsidR="00BC1FD9" w:rsidRPr="00C67B82">
        <w:rPr>
          <w:rFonts w:asciiTheme="majorHAnsi" w:hAnsiTheme="majorHAnsi"/>
        </w:rPr>
        <w:t>стамбеног насеља намењеног даљој продаји на тржишту</w:t>
      </w:r>
      <w:r w:rsidR="00B70EB8" w:rsidRPr="00C67B82">
        <w:rPr>
          <w:rFonts w:asciiTheme="majorHAnsi" w:hAnsiTheme="majorHAnsi"/>
        </w:rPr>
        <w:t>, као што је учињено кроз примену оспореног закона</w:t>
      </w:r>
      <w:r w:rsidR="00BC1FD9" w:rsidRPr="00C67B82">
        <w:rPr>
          <w:rFonts w:asciiTheme="majorHAnsi" w:hAnsiTheme="majorHAnsi"/>
        </w:rPr>
        <w:t xml:space="preserve">.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D1362F" w:rsidRDefault="00BC1FD9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 xml:space="preserve">У другом наведеном случају, Закон о јавним набавкама предвиђа могућност </w:t>
      </w:r>
      <w:r w:rsidR="003C4EC4" w:rsidRPr="00C67B82">
        <w:rPr>
          <w:rFonts w:asciiTheme="majorHAnsi" w:hAnsiTheme="majorHAnsi"/>
        </w:rPr>
        <w:t xml:space="preserve">да се спроведе набавка </w:t>
      </w:r>
      <w:r w:rsidR="004D040A">
        <w:rPr>
          <w:rFonts w:asciiTheme="majorHAnsi" w:hAnsiTheme="majorHAnsi"/>
          <w:lang w:val="sr-Cyrl-CS"/>
        </w:rPr>
        <w:t>у преговарачком поступку</w:t>
      </w:r>
      <w:proofErr w:type="gramStart"/>
      <w:r w:rsidR="003C4EC4" w:rsidRPr="00C67B82">
        <w:rPr>
          <w:rFonts w:asciiTheme="majorHAnsi" w:hAnsiTheme="majorHAnsi"/>
        </w:rPr>
        <w:t>,</w:t>
      </w:r>
      <w:r w:rsidR="004D040A">
        <w:rPr>
          <w:rFonts w:asciiTheme="majorHAnsi" w:hAnsiTheme="majorHAnsi"/>
          <w:lang w:val="sr-Cyrl-CS"/>
        </w:rPr>
        <w:t xml:space="preserve"> </w:t>
      </w:r>
      <w:r w:rsidR="003C4EC4" w:rsidRPr="00C67B82">
        <w:rPr>
          <w:rFonts w:asciiTheme="majorHAnsi" w:hAnsiTheme="majorHAnsi"/>
        </w:rPr>
        <w:t xml:space="preserve"> уместо</w:t>
      </w:r>
      <w:proofErr w:type="gramEnd"/>
      <w:r w:rsidR="003C4EC4" w:rsidRPr="00C67B82">
        <w:rPr>
          <w:rFonts w:asciiTheme="majorHAnsi" w:hAnsiTheme="majorHAnsi"/>
        </w:rPr>
        <w:t xml:space="preserve"> у редовном тендерском. </w:t>
      </w:r>
      <w:proofErr w:type="gramStart"/>
      <w:r w:rsidR="003C4EC4" w:rsidRPr="00C67B82">
        <w:rPr>
          <w:rFonts w:asciiTheme="majorHAnsi" w:hAnsiTheme="majorHAnsi"/>
        </w:rPr>
        <w:t>То је управо метод који се примењује на основу Закона о подстицању грађевинске индустрије.</w:t>
      </w:r>
      <w:proofErr w:type="gramEnd"/>
      <w:r w:rsidR="003C4EC4" w:rsidRPr="00C67B82">
        <w:rPr>
          <w:rFonts w:asciiTheme="majorHAnsi" w:hAnsiTheme="majorHAnsi"/>
        </w:rPr>
        <w:t xml:space="preserve"> </w:t>
      </w:r>
      <w:proofErr w:type="gramStart"/>
      <w:r w:rsidR="003C4EC4" w:rsidRPr="00C67B82">
        <w:rPr>
          <w:rFonts w:asciiTheme="majorHAnsi" w:hAnsiTheme="majorHAnsi"/>
        </w:rPr>
        <w:t>Међутим, суштинска разлика лежи у томе што је по Закону о јавним набавкама реч о набавци која је хитна наручиоцу, државном органу, а код Закона о подстицању грађевинске индустрије потребу за хитном интервенцијом државе имају понуђачи – грађевинске фирме.</w:t>
      </w:r>
      <w:proofErr w:type="gramEnd"/>
      <w:r w:rsidR="003C4EC4" w:rsidRPr="00C67B82">
        <w:rPr>
          <w:rFonts w:asciiTheme="majorHAnsi" w:hAnsiTheme="majorHAnsi"/>
        </w:rPr>
        <w:t xml:space="preserve">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B70EB8" w:rsidRPr="00C67B82" w:rsidRDefault="00BD3CD3" w:rsidP="003276A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sr-Cyrl-CS"/>
        </w:rPr>
        <w:t xml:space="preserve">2. </w:t>
      </w:r>
      <w:r w:rsidR="00B70EB8" w:rsidRPr="00C67B82">
        <w:rPr>
          <w:rFonts w:asciiTheme="majorHAnsi" w:hAnsiTheme="majorHAnsi"/>
          <w:i/>
        </w:rPr>
        <w:t>Кршење начела јавних набавки</w:t>
      </w:r>
    </w:p>
    <w:p w:rsidR="003276AE" w:rsidRDefault="003276AE" w:rsidP="003276AE">
      <w:pPr>
        <w:rPr>
          <w:rFonts w:asciiTheme="majorHAnsi" w:hAnsiTheme="majorHAnsi"/>
        </w:rPr>
      </w:pPr>
    </w:p>
    <w:p w:rsidR="00F345BA" w:rsidRDefault="000D0886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 xml:space="preserve">У разради тврдње да начело јединства правног поретка није повређено </w:t>
      </w:r>
      <w:r w:rsidR="000449E3" w:rsidRPr="00C67B82">
        <w:rPr>
          <w:rFonts w:asciiTheme="majorHAnsi" w:hAnsiTheme="majorHAnsi"/>
        </w:rPr>
        <w:t>оспореним законом, Уставни суд указује да мере које тај закон доноси „немају за циљ да ограниче конкуренцију међу понуђачима или дискриминишу неке понуђаче“</w:t>
      </w:r>
      <w:r w:rsidR="00363C4F" w:rsidRPr="00C67B82">
        <w:rPr>
          <w:rFonts w:asciiTheme="majorHAnsi" w:hAnsiTheme="majorHAnsi"/>
        </w:rPr>
        <w:t xml:space="preserve">, већ „су прописане искључиво са циљем превладавања негативних ефеката економске кризе у области грађевинске индустрије, у условима када постојећа законска и друга решења </w:t>
      </w:r>
      <w:r w:rsidR="00E4074A" w:rsidRPr="00C67B82">
        <w:rPr>
          <w:rFonts w:asciiTheme="majorHAnsi" w:hAnsiTheme="majorHAnsi"/>
        </w:rPr>
        <w:t>„</w:t>
      </w:r>
      <w:r w:rsidR="00363C4F" w:rsidRPr="00C67B82">
        <w:rPr>
          <w:rFonts w:asciiTheme="majorHAnsi" w:hAnsiTheme="majorHAnsi"/>
        </w:rPr>
        <w:t>нису била довољна да обезбеде опста</w:t>
      </w:r>
      <w:r w:rsidR="00D314C7" w:rsidRPr="00C67B82">
        <w:rPr>
          <w:rFonts w:asciiTheme="majorHAnsi" w:hAnsiTheme="majorHAnsi"/>
        </w:rPr>
        <w:t>н</w:t>
      </w:r>
      <w:r w:rsidR="00363C4F" w:rsidRPr="00C67B82">
        <w:rPr>
          <w:rFonts w:asciiTheme="majorHAnsi" w:hAnsiTheme="majorHAnsi"/>
        </w:rPr>
        <w:t>ак домаће грађевинске индустрије у ванредним условима економске кризе, без интервенције државе</w:t>
      </w:r>
      <w:r w:rsidR="00BC2076" w:rsidRPr="00C67B82">
        <w:rPr>
          <w:rFonts w:asciiTheme="majorHAnsi" w:hAnsiTheme="majorHAnsi"/>
        </w:rPr>
        <w:t>“</w:t>
      </w:r>
      <w:r w:rsidR="00363C4F" w:rsidRPr="00C67B82">
        <w:rPr>
          <w:rFonts w:asciiTheme="majorHAnsi" w:hAnsiTheme="majorHAnsi"/>
        </w:rPr>
        <w:t xml:space="preserve">. </w:t>
      </w:r>
      <w:proofErr w:type="gramStart"/>
      <w:r w:rsidR="00363C4F" w:rsidRPr="00C67B82">
        <w:rPr>
          <w:rFonts w:asciiTheme="majorHAnsi" w:hAnsiTheme="majorHAnsi"/>
        </w:rPr>
        <w:t xml:space="preserve">Остаје нејасно због чега се Уставни суд упустио у </w:t>
      </w:r>
      <w:r w:rsidR="00C67B82" w:rsidRPr="00C67B82">
        <w:rPr>
          <w:rFonts w:asciiTheme="majorHAnsi" w:hAnsiTheme="majorHAnsi"/>
        </w:rPr>
        <w:t>разматрање циљева</w:t>
      </w:r>
      <w:r w:rsidR="00363C4F" w:rsidRPr="00C67B82">
        <w:rPr>
          <w:rFonts w:asciiTheme="majorHAnsi" w:hAnsiTheme="majorHAnsi"/>
        </w:rPr>
        <w:t xml:space="preserve"> због којих је законодавац прекршио начела из Закона о јавним набавкама.</w:t>
      </w:r>
      <w:proofErr w:type="gramEnd"/>
      <w:r w:rsidR="00363C4F" w:rsidRPr="00C67B82">
        <w:rPr>
          <w:rFonts w:asciiTheme="majorHAnsi" w:hAnsiTheme="majorHAnsi"/>
        </w:rPr>
        <w:t xml:space="preserve"> </w:t>
      </w:r>
      <w:proofErr w:type="gramStart"/>
      <w:r w:rsidR="00363C4F" w:rsidRPr="00C67B82">
        <w:rPr>
          <w:rFonts w:asciiTheme="majorHAnsi" w:hAnsiTheme="majorHAnsi"/>
        </w:rPr>
        <w:t>Та начела јасно забрањују дискриминацију понуђача, шта год да је прокламовани циљ те дискриминације и без обзира на то да ли је период дискриминације ограничен.</w:t>
      </w:r>
      <w:proofErr w:type="gramEnd"/>
      <w:r w:rsidR="00363C4F" w:rsidRPr="00C67B82">
        <w:rPr>
          <w:rFonts w:asciiTheme="majorHAnsi" w:hAnsiTheme="majorHAnsi"/>
        </w:rPr>
        <w:t xml:space="preserve"> </w:t>
      </w:r>
      <w:proofErr w:type="gramStart"/>
      <w:r w:rsidR="00C67B82" w:rsidRPr="00C67B82">
        <w:rPr>
          <w:rFonts w:asciiTheme="majorHAnsi" w:hAnsiTheme="majorHAnsi"/>
        </w:rPr>
        <w:t>Д</w:t>
      </w:r>
      <w:r w:rsidR="00363C4F" w:rsidRPr="00C67B82">
        <w:rPr>
          <w:rFonts w:asciiTheme="majorHAnsi" w:hAnsiTheme="majorHAnsi"/>
        </w:rPr>
        <w:t xml:space="preserve">искриминација </w:t>
      </w:r>
      <w:r w:rsidR="00B70EB8" w:rsidRPr="00C67B82">
        <w:rPr>
          <w:rFonts w:asciiTheme="majorHAnsi" w:hAnsiTheme="majorHAnsi"/>
        </w:rPr>
        <w:t xml:space="preserve">понуђача </w:t>
      </w:r>
      <w:r w:rsidR="00363C4F" w:rsidRPr="00C67B82">
        <w:rPr>
          <w:rFonts w:asciiTheme="majorHAnsi" w:hAnsiTheme="majorHAnsi"/>
        </w:rPr>
        <w:t>je забрањена</w:t>
      </w:r>
      <w:r w:rsidR="00B70EB8" w:rsidRPr="00C67B82">
        <w:rPr>
          <w:rFonts w:asciiTheme="majorHAnsi" w:hAnsiTheme="majorHAnsi"/>
        </w:rPr>
        <w:t xml:space="preserve"> и када представља </w:t>
      </w:r>
      <w:r w:rsidR="00363C4F" w:rsidRPr="00C67B82">
        <w:rPr>
          <w:rFonts w:asciiTheme="majorHAnsi" w:hAnsiTheme="majorHAnsi"/>
        </w:rPr>
        <w:t xml:space="preserve">средство а не </w:t>
      </w:r>
      <w:r w:rsidR="00B70EB8" w:rsidRPr="00C67B82">
        <w:rPr>
          <w:rFonts w:asciiTheme="majorHAnsi" w:hAnsiTheme="majorHAnsi"/>
        </w:rPr>
        <w:t xml:space="preserve">само када </w:t>
      </w:r>
      <w:r w:rsidR="00C67B82" w:rsidRPr="00C67B82">
        <w:rPr>
          <w:rFonts w:asciiTheme="majorHAnsi" w:hAnsiTheme="majorHAnsi"/>
        </w:rPr>
        <w:t>представља</w:t>
      </w:r>
      <w:r w:rsidR="00BC3155">
        <w:rPr>
          <w:rFonts w:asciiTheme="majorHAnsi" w:hAnsiTheme="majorHAnsi"/>
          <w:lang w:val="sr-Cyrl-CS"/>
        </w:rPr>
        <w:t xml:space="preserve"> </w:t>
      </w:r>
      <w:r w:rsidR="00363C4F" w:rsidRPr="00C67B82">
        <w:rPr>
          <w:rFonts w:asciiTheme="majorHAnsi" w:hAnsiTheme="majorHAnsi"/>
        </w:rPr>
        <w:t>циљ.</w:t>
      </w:r>
      <w:proofErr w:type="gramEnd"/>
      <w:r w:rsidR="00363C4F" w:rsidRPr="00C67B82">
        <w:rPr>
          <w:rFonts w:asciiTheme="majorHAnsi" w:hAnsiTheme="majorHAnsi"/>
        </w:rPr>
        <w:t xml:space="preserve">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106E6D" w:rsidRPr="00C67B82" w:rsidRDefault="00620974" w:rsidP="003276A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sr-Cyrl-CS"/>
        </w:rPr>
        <w:t xml:space="preserve">3. </w:t>
      </w:r>
      <w:r w:rsidR="00106E6D" w:rsidRPr="00C67B82">
        <w:rPr>
          <w:rFonts w:asciiTheme="majorHAnsi" w:hAnsiTheme="majorHAnsi"/>
          <w:i/>
        </w:rPr>
        <w:t>Ирелевантност ванправних питања</w:t>
      </w:r>
    </w:p>
    <w:p w:rsidR="003276AE" w:rsidRDefault="003276AE" w:rsidP="003276AE">
      <w:pPr>
        <w:rPr>
          <w:rFonts w:asciiTheme="majorHAnsi" w:hAnsiTheme="majorHAnsi"/>
        </w:rPr>
      </w:pPr>
    </w:p>
    <w:p w:rsidR="00E30BAF" w:rsidRDefault="00F345BA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Тврдња Уставног су</w:t>
      </w:r>
      <w:r w:rsidR="00B70EB8" w:rsidRPr="00C67B82">
        <w:rPr>
          <w:rFonts w:asciiTheme="majorHAnsi" w:hAnsiTheme="majorHAnsi"/>
        </w:rPr>
        <w:t>да о циљу који је законодавац дискриминацијом понуђача желео да постигне је</w:t>
      </w:r>
      <w:r w:rsidRPr="00C67B82">
        <w:rPr>
          <w:rFonts w:asciiTheme="majorHAnsi" w:hAnsiTheme="majorHAnsi"/>
        </w:rPr>
        <w:t xml:space="preserve"> спорна и по другом основу.</w:t>
      </w:r>
      <w:proofErr w:type="gramEnd"/>
      <w:r w:rsidRPr="00C67B82">
        <w:rPr>
          <w:rFonts w:asciiTheme="majorHAnsi" w:hAnsiTheme="majorHAnsi"/>
        </w:rPr>
        <w:t xml:space="preserve"> </w:t>
      </w:r>
      <w:proofErr w:type="gramStart"/>
      <w:r w:rsidRPr="00C67B82">
        <w:rPr>
          <w:rFonts w:asciiTheme="majorHAnsi" w:hAnsiTheme="majorHAnsi"/>
        </w:rPr>
        <w:t>Прво</w:t>
      </w:r>
      <w:r w:rsidR="00B70EB8" w:rsidRPr="00C67B82">
        <w:rPr>
          <w:rFonts w:asciiTheme="majorHAnsi" w:hAnsiTheme="majorHAnsi"/>
        </w:rPr>
        <w:t xml:space="preserve">, зато што се </w:t>
      </w:r>
      <w:r w:rsidRPr="00C67B82">
        <w:rPr>
          <w:rFonts w:asciiTheme="majorHAnsi" w:hAnsiTheme="majorHAnsi"/>
        </w:rPr>
        <w:t xml:space="preserve">Уставни суд </w:t>
      </w:r>
      <w:r w:rsidR="00B70EB8" w:rsidRPr="00C67B82">
        <w:rPr>
          <w:rFonts w:asciiTheme="majorHAnsi" w:hAnsiTheme="majorHAnsi"/>
        </w:rPr>
        <w:t xml:space="preserve">уопште </w:t>
      </w:r>
      <w:r w:rsidRPr="00C67B82">
        <w:rPr>
          <w:rFonts w:asciiTheme="majorHAnsi" w:hAnsiTheme="majorHAnsi"/>
        </w:rPr>
        <w:t>упустио у оцену целисходности доношења закона, изне</w:t>
      </w:r>
      <w:r w:rsidR="00B70EB8" w:rsidRPr="00C67B82">
        <w:rPr>
          <w:rFonts w:asciiTheme="majorHAnsi" w:hAnsiTheme="majorHAnsi"/>
        </w:rPr>
        <w:t xml:space="preserve">вши тврдњу која је можда тачна а можда и </w:t>
      </w:r>
      <w:r w:rsidR="00B70EB8" w:rsidRPr="00C67B82">
        <w:rPr>
          <w:rFonts w:asciiTheme="majorHAnsi" w:hAnsiTheme="majorHAnsi"/>
        </w:rPr>
        <w:lastRenderedPageBreak/>
        <w:t xml:space="preserve">није, али свакако није била предмет провере и оцене Уставног суда - </w:t>
      </w:r>
      <w:r w:rsidRPr="00C67B82">
        <w:rPr>
          <w:rFonts w:asciiTheme="majorHAnsi" w:hAnsiTheme="majorHAnsi"/>
        </w:rPr>
        <w:t>„да домаћа грађевинска не би опстала без помоћи државе“.</w:t>
      </w:r>
      <w:proofErr w:type="gramEnd"/>
      <w:r w:rsidRPr="00C67B82">
        <w:rPr>
          <w:rFonts w:asciiTheme="majorHAnsi" w:hAnsiTheme="majorHAnsi"/>
        </w:rPr>
        <w:t xml:space="preserve"> </w:t>
      </w:r>
      <w:proofErr w:type="gramStart"/>
      <w:r w:rsidRPr="00C67B82">
        <w:rPr>
          <w:rFonts w:asciiTheme="majorHAnsi" w:hAnsiTheme="majorHAnsi"/>
        </w:rPr>
        <w:t xml:space="preserve">Међутим, била тачна или не, ова тврдња, која је </w:t>
      </w:r>
      <w:r w:rsidR="00B70EB8" w:rsidRPr="00C67B82">
        <w:rPr>
          <w:rFonts w:asciiTheme="majorHAnsi" w:hAnsiTheme="majorHAnsi"/>
        </w:rPr>
        <w:t xml:space="preserve">у решење Уставног суд </w:t>
      </w:r>
      <w:r w:rsidRPr="00C67B82">
        <w:rPr>
          <w:rFonts w:asciiTheme="majorHAnsi" w:hAnsiTheme="majorHAnsi"/>
        </w:rPr>
        <w:t>вероватно преузета од предлагача закона, свакако није правно питање, те о том</w:t>
      </w:r>
      <w:r w:rsidR="00B70EB8" w:rsidRPr="00C67B82">
        <w:rPr>
          <w:rFonts w:asciiTheme="majorHAnsi" w:hAnsiTheme="majorHAnsi"/>
        </w:rPr>
        <w:t xml:space="preserve"> питању Уставни суд нема ни</w:t>
      </w:r>
      <w:r w:rsidRPr="00C67B82">
        <w:rPr>
          <w:rFonts w:asciiTheme="majorHAnsi" w:hAnsiTheme="majorHAnsi"/>
        </w:rPr>
        <w:t xml:space="preserve"> основа да заузима став.</w:t>
      </w:r>
      <w:proofErr w:type="gramEnd"/>
      <w:r w:rsidRPr="00C67B82">
        <w:rPr>
          <w:rFonts w:asciiTheme="majorHAnsi" w:hAnsiTheme="majorHAnsi"/>
        </w:rPr>
        <w:t xml:space="preserve">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106E6D" w:rsidRPr="00C67B82" w:rsidRDefault="00244FB3" w:rsidP="003276A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sr-Cyrl-CS"/>
        </w:rPr>
        <w:t xml:space="preserve">4. </w:t>
      </w:r>
      <w:r w:rsidR="00106E6D" w:rsidRPr="00C67B82">
        <w:rPr>
          <w:rFonts w:asciiTheme="majorHAnsi" w:hAnsiTheme="majorHAnsi"/>
          <w:i/>
        </w:rPr>
        <w:t>Економски ефекти закона</w:t>
      </w:r>
    </w:p>
    <w:p w:rsidR="003276AE" w:rsidRDefault="003276AE" w:rsidP="003276AE">
      <w:pPr>
        <w:rPr>
          <w:rFonts w:asciiTheme="majorHAnsi" w:hAnsiTheme="majorHAnsi"/>
        </w:rPr>
      </w:pPr>
    </w:p>
    <w:p w:rsidR="00C40248" w:rsidRDefault="00C40248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>А</w:t>
      </w:r>
      <w:r w:rsidR="00FE2F58" w:rsidRPr="00C67B82">
        <w:rPr>
          <w:rFonts w:asciiTheme="majorHAnsi" w:hAnsiTheme="majorHAnsi"/>
        </w:rPr>
        <w:t>ко се већ говори о ван</w:t>
      </w:r>
      <w:r w:rsidR="007D5F3A" w:rsidRPr="00C67B82">
        <w:rPr>
          <w:rFonts w:asciiTheme="majorHAnsi" w:hAnsiTheme="majorHAnsi"/>
        </w:rPr>
        <w:t>правн</w:t>
      </w:r>
      <w:r w:rsidRPr="00C67B82">
        <w:rPr>
          <w:rFonts w:asciiTheme="majorHAnsi" w:hAnsiTheme="majorHAnsi"/>
        </w:rPr>
        <w:t xml:space="preserve">им питањима, треба истаћи да на ниво активности неке индустрије држава може да утиче на разне начине – кроз прописе који уређују рад, политику у погледу увоза и извоза, политику субвенција, кроз одлуке о набавци добара, услуга и радова који су продукт те индустрије и на многе друге начине. </w:t>
      </w:r>
      <w:proofErr w:type="gramStart"/>
      <w:r w:rsidRPr="00C67B82">
        <w:rPr>
          <w:rFonts w:asciiTheme="majorHAnsi" w:hAnsiTheme="majorHAnsi"/>
        </w:rPr>
        <w:t xml:space="preserve">Правно је могућа одлука државе да спроводи одређене грађевинске радове, а </w:t>
      </w:r>
      <w:r w:rsidR="009A1571" w:rsidRPr="00C67B82">
        <w:rPr>
          <w:rFonts w:asciiTheme="majorHAnsi" w:hAnsiTheme="majorHAnsi"/>
        </w:rPr>
        <w:t xml:space="preserve">економски стручњаци о </w:t>
      </w:r>
      <w:r w:rsidRPr="00C67B82">
        <w:rPr>
          <w:rFonts w:asciiTheme="majorHAnsi" w:hAnsiTheme="majorHAnsi"/>
        </w:rPr>
        <w:t xml:space="preserve">исправности таквог приступа </w:t>
      </w:r>
      <w:r w:rsidR="009A1571" w:rsidRPr="00C67B82">
        <w:rPr>
          <w:rFonts w:asciiTheme="majorHAnsi" w:hAnsiTheme="majorHAnsi"/>
        </w:rPr>
        <w:t>имају различита мишљења.</w:t>
      </w:r>
      <w:proofErr w:type="gramEnd"/>
      <w:r w:rsidR="009A1571" w:rsidRPr="00C67B82">
        <w:rPr>
          <w:rFonts w:asciiTheme="majorHAnsi" w:hAnsiTheme="majorHAnsi"/>
        </w:rPr>
        <w:t xml:space="preserve"> </w:t>
      </w:r>
      <w:r w:rsidRPr="00C67B82">
        <w:rPr>
          <w:rFonts w:asciiTheme="majorHAnsi" w:hAnsiTheme="majorHAnsi"/>
        </w:rPr>
        <w:t>Наиме, постоје економисти који сматрају да у неким ситуацијама држава треба да спроводи радове и друге набавке иако то иначе не</w:t>
      </w:r>
      <w:r w:rsidR="00C67B82">
        <w:rPr>
          <w:rFonts w:asciiTheme="majorHAnsi" w:hAnsiTheme="majorHAnsi"/>
        </w:rPr>
        <w:t xml:space="preserve"> би чинила, како би се подстак</w:t>
      </w:r>
      <w:r w:rsidRPr="00C67B82">
        <w:rPr>
          <w:rFonts w:asciiTheme="majorHAnsi" w:hAnsiTheme="majorHAnsi"/>
        </w:rPr>
        <w:t>а</w:t>
      </w:r>
      <w:r w:rsidR="00C67B82">
        <w:rPr>
          <w:rFonts w:asciiTheme="majorHAnsi" w:hAnsiTheme="majorHAnsi"/>
        </w:rPr>
        <w:t>о</w:t>
      </w:r>
      <w:r w:rsidRPr="00C67B82">
        <w:rPr>
          <w:rFonts w:asciiTheme="majorHAnsi" w:hAnsiTheme="majorHAnsi"/>
        </w:rPr>
        <w:t xml:space="preserve"> ниво привредне активности, док други сматрају да је такав приступ апсурдан, јер се јавна потрошња у крајњој линији финансира од привреде и грађана и да ће се штетно одразити на привредне гране у којима се таква активност државе не спроводи.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040198" w:rsidRDefault="009A1571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 xml:space="preserve">Када је држава донела одлуку да набави радове, које иначе не би набављала (што значи да су </w:t>
      </w:r>
      <w:r w:rsidR="00E3171A" w:rsidRPr="00C67B82">
        <w:rPr>
          <w:rFonts w:asciiTheme="majorHAnsi" w:hAnsiTheme="majorHAnsi"/>
        </w:rPr>
        <w:t xml:space="preserve">ти трошкови </w:t>
      </w:r>
      <w:r w:rsidRPr="00C67B82">
        <w:rPr>
          <w:rFonts w:asciiTheme="majorHAnsi" w:hAnsiTheme="majorHAnsi"/>
        </w:rPr>
        <w:t>иначе оцењени као неприоритетни</w:t>
      </w:r>
      <w:r w:rsidR="00E3171A" w:rsidRPr="00C67B82">
        <w:rPr>
          <w:rFonts w:asciiTheme="majorHAnsi" w:hAnsiTheme="majorHAnsi"/>
        </w:rPr>
        <w:t>, уколико су уопште били разматрани</w:t>
      </w:r>
      <w:r w:rsidR="00C40248" w:rsidRPr="00C67B82">
        <w:rPr>
          <w:rFonts w:asciiTheme="majorHAnsi" w:hAnsiTheme="majorHAnsi"/>
        </w:rPr>
        <w:t xml:space="preserve"> пре доношења спорног за</w:t>
      </w:r>
      <w:r w:rsidR="00C67B82">
        <w:rPr>
          <w:rFonts w:asciiTheme="majorHAnsi" w:hAnsiTheme="majorHAnsi"/>
        </w:rPr>
        <w:t>к</w:t>
      </w:r>
      <w:r w:rsidR="00C40248" w:rsidRPr="00C67B82">
        <w:rPr>
          <w:rFonts w:asciiTheme="majorHAnsi" w:hAnsiTheme="majorHAnsi"/>
        </w:rPr>
        <w:t>она</w:t>
      </w:r>
      <w:r w:rsidRPr="00C67B82">
        <w:rPr>
          <w:rFonts w:asciiTheme="majorHAnsi" w:hAnsiTheme="majorHAnsi"/>
        </w:rPr>
        <w:t xml:space="preserve">), само да би помогла грађевинској индустрији, постојала је могућност да се </w:t>
      </w:r>
      <w:r w:rsidR="00C40248" w:rsidRPr="00C67B82">
        <w:rPr>
          <w:rFonts w:asciiTheme="majorHAnsi" w:hAnsiTheme="majorHAnsi"/>
        </w:rPr>
        <w:t>и за те радове спров</w:t>
      </w:r>
      <w:r w:rsidR="005B707D">
        <w:rPr>
          <w:rFonts w:asciiTheme="majorHAnsi" w:hAnsiTheme="majorHAnsi"/>
          <w:lang w:val="sr-Cyrl-CS"/>
        </w:rPr>
        <w:t>о</w:t>
      </w:r>
      <w:r w:rsidR="00C40248" w:rsidRPr="00C67B82">
        <w:rPr>
          <w:rFonts w:asciiTheme="majorHAnsi" w:hAnsiTheme="majorHAnsi"/>
        </w:rPr>
        <w:t>ди</w:t>
      </w:r>
      <w:r w:rsidRPr="00C67B82">
        <w:rPr>
          <w:rFonts w:asciiTheme="majorHAnsi" w:hAnsiTheme="majorHAnsi"/>
        </w:rPr>
        <w:t xml:space="preserve"> редован поступак јавних набавки.</w:t>
      </w:r>
      <w:proofErr w:type="gramEnd"/>
      <w:r w:rsidRPr="00C67B82">
        <w:rPr>
          <w:rFonts w:asciiTheme="majorHAnsi" w:hAnsiTheme="majorHAnsi"/>
        </w:rPr>
        <w:t xml:space="preserve"> У то</w:t>
      </w:r>
      <w:r w:rsidR="008B6E6A" w:rsidRPr="00C67B82">
        <w:rPr>
          <w:rFonts w:asciiTheme="majorHAnsi" w:hAnsiTheme="majorHAnsi"/>
        </w:rPr>
        <w:t>м поступку би домаће</w:t>
      </w:r>
      <w:r w:rsidRPr="00C67B82">
        <w:rPr>
          <w:rFonts w:asciiTheme="majorHAnsi" w:hAnsiTheme="majorHAnsi"/>
        </w:rPr>
        <w:t xml:space="preserve"> фирме </w:t>
      </w:r>
      <w:r w:rsidR="008B6E6A" w:rsidRPr="00C67B82">
        <w:rPr>
          <w:rFonts w:asciiTheme="majorHAnsi" w:hAnsiTheme="majorHAnsi"/>
        </w:rPr>
        <w:t>и производи домаћих произвођача уживали у</w:t>
      </w:r>
      <w:r w:rsidRPr="00C67B82">
        <w:rPr>
          <w:rFonts w:asciiTheme="majorHAnsi" w:hAnsiTheme="majorHAnsi"/>
        </w:rPr>
        <w:t xml:space="preserve"> старту </w:t>
      </w:r>
      <w:r w:rsidR="008B6E6A" w:rsidRPr="00C67B82">
        <w:rPr>
          <w:rFonts w:asciiTheme="majorHAnsi" w:hAnsiTheme="majorHAnsi"/>
        </w:rPr>
        <w:t>предност „у пондерима“, у односу на иностране,</w:t>
      </w:r>
      <w:r w:rsidRPr="00C67B82">
        <w:rPr>
          <w:rFonts w:asciiTheme="majorHAnsi" w:hAnsiTheme="majorHAnsi"/>
        </w:rPr>
        <w:t xml:space="preserve"> на основу одредаба члан</w:t>
      </w:r>
      <w:r w:rsidR="008B6E6A" w:rsidRPr="00C67B82">
        <w:rPr>
          <w:rFonts w:asciiTheme="majorHAnsi" w:hAnsiTheme="majorHAnsi"/>
        </w:rPr>
        <w:t xml:space="preserve">а 52. </w:t>
      </w:r>
      <w:proofErr w:type="gramStart"/>
      <w:r w:rsidR="008B6E6A" w:rsidRPr="00C67B82">
        <w:rPr>
          <w:rFonts w:asciiTheme="majorHAnsi" w:hAnsiTheme="majorHAnsi"/>
        </w:rPr>
        <w:t>Закона о јавним набавкама.</w:t>
      </w:r>
      <w:proofErr w:type="gramEnd"/>
      <w:r w:rsidR="008B6E6A" w:rsidRPr="00C67B82">
        <w:rPr>
          <w:rFonts w:asciiTheme="majorHAnsi" w:hAnsiTheme="majorHAnsi"/>
        </w:rPr>
        <w:t xml:space="preserve"> </w:t>
      </w:r>
      <w:proofErr w:type="gramStart"/>
      <w:r w:rsidR="008B6E6A" w:rsidRPr="00C67B82">
        <w:rPr>
          <w:rFonts w:asciiTheme="majorHAnsi" w:hAnsiTheme="majorHAnsi"/>
        </w:rPr>
        <w:t>Д</w:t>
      </w:r>
      <w:r w:rsidRPr="00C67B82">
        <w:rPr>
          <w:rFonts w:asciiTheme="majorHAnsi" w:hAnsiTheme="majorHAnsi"/>
        </w:rPr>
        <w:t xml:space="preserve">ругим речима, добиле би посао чак и ако затраже </w:t>
      </w:r>
      <w:r w:rsidR="008B6E6A" w:rsidRPr="00C67B82">
        <w:rPr>
          <w:rFonts w:asciiTheme="majorHAnsi" w:hAnsiTheme="majorHAnsi"/>
        </w:rPr>
        <w:t>до 20</w:t>
      </w:r>
      <w:r w:rsidRPr="00C67B82">
        <w:rPr>
          <w:rFonts w:asciiTheme="majorHAnsi" w:hAnsiTheme="majorHAnsi"/>
        </w:rPr>
        <w:t>% већу цену од иностраног конкурента.</w:t>
      </w:r>
      <w:proofErr w:type="gramEnd"/>
      <w:r w:rsidRPr="00C67B82">
        <w:rPr>
          <w:rFonts w:asciiTheme="majorHAnsi" w:hAnsiTheme="majorHAnsi"/>
        </w:rPr>
        <w:t xml:space="preserve"> Ако је и поред тога било неопходно законски искључити стране конкуренте</w:t>
      </w:r>
      <w:r w:rsidR="008B6E6A" w:rsidRPr="00C67B82">
        <w:rPr>
          <w:rFonts w:asciiTheme="majorHAnsi" w:hAnsiTheme="majorHAnsi"/>
        </w:rPr>
        <w:t>, као што се може закључити из решења Уставног суда,</w:t>
      </w:r>
      <w:r w:rsidRPr="00C67B82">
        <w:rPr>
          <w:rFonts w:asciiTheme="majorHAnsi" w:hAnsiTheme="majorHAnsi"/>
        </w:rPr>
        <w:t xml:space="preserve"> то значи да </w:t>
      </w:r>
      <w:r w:rsidR="008B6E6A" w:rsidRPr="00C67B82">
        <w:rPr>
          <w:rFonts w:asciiTheme="majorHAnsi" w:hAnsiTheme="majorHAnsi"/>
        </w:rPr>
        <w:t>је држава пристала да подршку грађевинској индустрији обезбеди тако што ће радове преплатити за више од 20% од цене која би могла</w:t>
      </w:r>
      <w:r w:rsidR="00A30B25">
        <w:rPr>
          <w:rFonts w:asciiTheme="majorHAnsi" w:hAnsiTheme="majorHAnsi"/>
          <w:lang w:val="sr-Cyrl-CS"/>
        </w:rPr>
        <w:t xml:space="preserve"> </w:t>
      </w:r>
      <w:r w:rsidR="008B6E6A" w:rsidRPr="00C67B82">
        <w:rPr>
          <w:rFonts w:asciiTheme="majorHAnsi" w:hAnsiTheme="majorHAnsi"/>
        </w:rPr>
        <w:t>да се иначе добије</w:t>
      </w:r>
      <w:r w:rsidR="00C67B82">
        <w:rPr>
          <w:rFonts w:asciiTheme="majorHAnsi" w:hAnsiTheme="majorHAnsi"/>
        </w:rPr>
        <w:t xml:space="preserve"> кроз слободно надметање</w:t>
      </w:r>
      <w:r w:rsidR="00CE1BE2" w:rsidRPr="00C67B82">
        <w:rPr>
          <w:rFonts w:asciiTheme="majorHAnsi" w:hAnsiTheme="majorHAnsi"/>
        </w:rPr>
        <w:t xml:space="preserve">. </w:t>
      </w:r>
      <w:r w:rsidR="008D1BE8" w:rsidRPr="00C67B82">
        <w:rPr>
          <w:rFonts w:asciiTheme="majorHAnsi" w:hAnsiTheme="majorHAnsi"/>
        </w:rPr>
        <w:t>Одабир коришћења преговарачког поступка</w:t>
      </w:r>
      <w:r w:rsidR="008B6E6A" w:rsidRPr="00C67B82">
        <w:rPr>
          <w:rFonts w:asciiTheme="majorHAnsi" w:hAnsiTheme="majorHAnsi"/>
        </w:rPr>
        <w:t xml:space="preserve"> јавне набавке</w:t>
      </w:r>
      <w:r w:rsidR="008D1BE8" w:rsidRPr="00C67B82">
        <w:rPr>
          <w:rFonts w:asciiTheme="majorHAnsi" w:hAnsiTheme="majorHAnsi"/>
        </w:rPr>
        <w:t>, који је специјални закон поставио као правило, такође доводи до дискриминације понуђача (унутар земље), и на тај начин омогућава да помоћ ефективно не добије „грађевинска индустрија“, већ</w:t>
      </w:r>
      <w:r w:rsidR="00FE2F58" w:rsidRPr="00C67B82">
        <w:rPr>
          <w:rFonts w:asciiTheme="majorHAnsi" w:hAnsiTheme="majorHAnsi"/>
        </w:rPr>
        <w:t xml:space="preserve"> конкретне</w:t>
      </w:r>
      <w:r w:rsidR="008D1BE8" w:rsidRPr="00C67B82">
        <w:rPr>
          <w:rFonts w:asciiTheme="majorHAnsi" w:hAnsiTheme="majorHAnsi"/>
        </w:rPr>
        <w:t xml:space="preserve"> фирме које су позване да </w:t>
      </w:r>
      <w:r w:rsidR="003658DA" w:rsidRPr="00C67B82">
        <w:rPr>
          <w:rFonts w:asciiTheme="majorHAnsi" w:hAnsiTheme="majorHAnsi"/>
        </w:rPr>
        <w:t>се надмећу за добијање посла</w:t>
      </w:r>
      <w:r w:rsidR="008D1BE8" w:rsidRPr="00C67B82">
        <w:rPr>
          <w:rFonts w:asciiTheme="majorHAnsi" w:hAnsiTheme="majorHAnsi"/>
        </w:rPr>
        <w:t xml:space="preserve">. </w:t>
      </w:r>
      <w:proofErr w:type="gramStart"/>
      <w:r w:rsidR="00C67B82">
        <w:rPr>
          <w:rFonts w:asciiTheme="majorHAnsi" w:hAnsiTheme="majorHAnsi"/>
        </w:rPr>
        <w:t xml:space="preserve">Економски ефекат ових </w:t>
      </w:r>
      <w:r w:rsidR="00FE2F58" w:rsidRPr="00C67B82">
        <w:rPr>
          <w:rFonts w:asciiTheme="majorHAnsi" w:hAnsiTheme="majorHAnsi"/>
        </w:rPr>
        <w:t>мера би био исти да су набавке спроведене без кршења закона и да је приде Влада доделила новчану помоћ у виду субвенција конкретним фирмама којима је желела да помогне.</w:t>
      </w:r>
      <w:proofErr w:type="gramEnd"/>
      <w:r w:rsidR="00FE2F58" w:rsidRPr="00C67B82">
        <w:rPr>
          <w:rFonts w:asciiTheme="majorHAnsi" w:hAnsiTheme="majorHAnsi"/>
        </w:rPr>
        <w:t xml:space="preserve">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4E6686" w:rsidRDefault="00E30BAF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 xml:space="preserve">Из изложеног произлази </w:t>
      </w:r>
      <w:r w:rsidR="004E6686" w:rsidRPr="00C67B82">
        <w:rPr>
          <w:rFonts w:asciiTheme="majorHAnsi" w:hAnsiTheme="majorHAnsi"/>
        </w:rPr>
        <w:t>да је Уставни суд</w:t>
      </w:r>
      <w:r w:rsidR="005F4C80">
        <w:rPr>
          <w:rFonts w:asciiTheme="majorHAnsi" w:hAnsiTheme="majorHAnsi"/>
        </w:rPr>
        <w:t>, по нашем мишљењу,</w:t>
      </w:r>
      <w:r w:rsidR="004E6686" w:rsidRPr="00C67B82">
        <w:rPr>
          <w:rFonts w:asciiTheme="majorHAnsi" w:hAnsiTheme="majorHAnsi"/>
        </w:rPr>
        <w:t xml:space="preserve"> погрешно закључио да је доношење „специјалног закона“ било потребно ради опстанка домаће грађевинске индустрије, позивајући се на то да домаће грађевинске фирме не би могле да опстану без интервенције државе у „ванредним условима економске кризе“. </w:t>
      </w:r>
      <w:proofErr w:type="gramStart"/>
      <w:r w:rsidR="004E6686" w:rsidRPr="00C67B82">
        <w:rPr>
          <w:rFonts w:asciiTheme="majorHAnsi" w:hAnsiTheme="majorHAnsi"/>
        </w:rPr>
        <w:t xml:space="preserve">Наиме, државна интервенција, све и да се пође </w:t>
      </w:r>
      <w:r w:rsidR="005F4C80">
        <w:rPr>
          <w:rFonts w:asciiTheme="majorHAnsi" w:hAnsiTheme="majorHAnsi"/>
        </w:rPr>
        <w:t>од претпоставке да је била једини начин за опстанак домаћих грађевинских фирми</w:t>
      </w:r>
      <w:r w:rsidR="004E6686" w:rsidRPr="00C67B82">
        <w:rPr>
          <w:rFonts w:asciiTheme="majorHAnsi" w:hAnsiTheme="majorHAnsi"/>
        </w:rPr>
        <w:t>, могла је да се изведе и без нарушавања системског закона, са истим или повољнијим економским ефектима.</w:t>
      </w:r>
      <w:proofErr w:type="gramEnd"/>
      <w:r w:rsidR="004E6686" w:rsidRPr="00C67B82">
        <w:rPr>
          <w:rFonts w:asciiTheme="majorHAnsi" w:hAnsiTheme="majorHAnsi"/>
        </w:rPr>
        <w:t xml:space="preserve"> </w:t>
      </w:r>
      <w:proofErr w:type="gramStart"/>
      <w:r w:rsidR="0027670F" w:rsidRPr="00C67B82">
        <w:rPr>
          <w:rFonts w:asciiTheme="majorHAnsi" w:hAnsiTheme="majorHAnsi"/>
        </w:rPr>
        <w:t xml:space="preserve">Самим тим, </w:t>
      </w:r>
      <w:r w:rsidR="005F4C80">
        <w:rPr>
          <w:rFonts w:asciiTheme="majorHAnsi" w:hAnsiTheme="majorHAnsi"/>
        </w:rPr>
        <w:t xml:space="preserve">сматрамо да </w:t>
      </w:r>
      <w:r w:rsidR="0027670F" w:rsidRPr="00C67B82">
        <w:rPr>
          <w:rFonts w:asciiTheme="majorHAnsi" w:hAnsiTheme="majorHAnsi"/>
        </w:rPr>
        <w:t>нису</w:t>
      </w:r>
      <w:r w:rsidR="004E6686" w:rsidRPr="00C67B82">
        <w:rPr>
          <w:rFonts w:asciiTheme="majorHAnsi" w:hAnsiTheme="majorHAnsi"/>
        </w:rPr>
        <w:t xml:space="preserve"> основан</w:t>
      </w:r>
      <w:r w:rsidR="0027670F" w:rsidRPr="00C67B82">
        <w:rPr>
          <w:rFonts w:asciiTheme="majorHAnsi" w:hAnsiTheme="majorHAnsi"/>
        </w:rPr>
        <w:t>и закључци</w:t>
      </w:r>
      <w:r w:rsidR="004E6686" w:rsidRPr="00C67B82">
        <w:rPr>
          <w:rFonts w:asciiTheme="majorHAnsi" w:hAnsiTheme="majorHAnsi"/>
        </w:rPr>
        <w:t xml:space="preserve"> Уставног суда да циљ наведених мера ни</w:t>
      </w:r>
      <w:r w:rsidR="0027670F" w:rsidRPr="00C67B82">
        <w:rPr>
          <w:rFonts w:asciiTheme="majorHAnsi" w:hAnsiTheme="majorHAnsi"/>
        </w:rPr>
        <w:t>је била дискриминација понуђача, већ помоћ грађевинској индустрији, као ни закључак о нужности овакве интервенције ради пружања помоћи грађевинској индустрији.</w:t>
      </w:r>
      <w:proofErr w:type="gramEnd"/>
      <w:r w:rsidR="0027670F" w:rsidRPr="00C67B82">
        <w:rPr>
          <w:rFonts w:asciiTheme="majorHAnsi" w:hAnsiTheme="majorHAnsi"/>
        </w:rPr>
        <w:t xml:space="preserve">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27670F" w:rsidRPr="00C67B82" w:rsidRDefault="0068179D" w:rsidP="003276A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sr-Cyrl-CS"/>
        </w:rPr>
        <w:t xml:space="preserve">5. </w:t>
      </w:r>
      <w:r w:rsidR="0027670F" w:rsidRPr="00C67B82">
        <w:rPr>
          <w:rFonts w:asciiTheme="majorHAnsi" w:hAnsiTheme="majorHAnsi"/>
          <w:i/>
        </w:rPr>
        <w:t>„Привременост</w:t>
      </w:r>
      <w:proofErr w:type="gramStart"/>
      <w:r w:rsidR="0027670F" w:rsidRPr="00C67B82">
        <w:rPr>
          <w:rFonts w:asciiTheme="majorHAnsi" w:hAnsiTheme="majorHAnsi"/>
          <w:i/>
        </w:rPr>
        <w:t>“ нарушавања</w:t>
      </w:r>
      <w:proofErr w:type="gramEnd"/>
      <w:r w:rsidR="0027670F" w:rsidRPr="00C67B82">
        <w:rPr>
          <w:rFonts w:asciiTheme="majorHAnsi" w:hAnsiTheme="majorHAnsi"/>
          <w:i/>
        </w:rPr>
        <w:t xml:space="preserve"> правног поретка </w:t>
      </w:r>
    </w:p>
    <w:p w:rsidR="003276AE" w:rsidRDefault="003276AE" w:rsidP="003276AE">
      <w:pPr>
        <w:rPr>
          <w:rFonts w:asciiTheme="majorHAnsi" w:hAnsiTheme="majorHAnsi"/>
        </w:rPr>
      </w:pPr>
    </w:p>
    <w:p w:rsidR="00D60776" w:rsidRDefault="004E6686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 xml:space="preserve">Чини се да је Уставни суд сматрао битном чињеницу да је </w:t>
      </w:r>
      <w:r w:rsidR="002A40D6" w:rsidRPr="00C67B82">
        <w:rPr>
          <w:rFonts w:asciiTheme="majorHAnsi" w:hAnsiTheme="majorHAnsi"/>
        </w:rPr>
        <w:t>важење посебног закона временски ограничено, и да „разлози јавног интереса и даље оправдавају примену ових мера, с обзиром на актуелно стање у сектору грађевинске индустрије“.</w:t>
      </w:r>
      <w:proofErr w:type="gramEnd"/>
      <w:r w:rsidR="002A40D6" w:rsidRPr="00C67B82">
        <w:rPr>
          <w:rFonts w:asciiTheme="majorHAnsi" w:hAnsiTheme="majorHAnsi"/>
        </w:rPr>
        <w:t xml:space="preserve"> Могло би се </w:t>
      </w:r>
      <w:r w:rsidR="002A40D6" w:rsidRPr="00C67B82">
        <w:rPr>
          <w:rFonts w:asciiTheme="majorHAnsi" w:hAnsiTheme="majorHAnsi"/>
        </w:rPr>
        <w:lastRenderedPageBreak/>
        <w:t xml:space="preserve">закључити да Уставни суд сматра да је специјални закон уставан, али само док постоје разлози који </w:t>
      </w:r>
      <w:r w:rsidR="00A6484B" w:rsidRPr="00C67B82">
        <w:rPr>
          <w:rFonts w:asciiTheme="majorHAnsi" w:hAnsiTheme="majorHAnsi"/>
        </w:rPr>
        <w:t>„</w:t>
      </w:r>
      <w:r w:rsidR="002A40D6" w:rsidRPr="00C67B82">
        <w:rPr>
          <w:rFonts w:asciiTheme="majorHAnsi" w:hAnsiTheme="majorHAnsi"/>
        </w:rPr>
        <w:t>оправдавају</w:t>
      </w:r>
      <w:proofErr w:type="gramStart"/>
      <w:r w:rsidR="00A6484B" w:rsidRPr="00C67B82">
        <w:rPr>
          <w:rFonts w:asciiTheme="majorHAnsi" w:hAnsiTheme="majorHAnsi"/>
        </w:rPr>
        <w:t>“</w:t>
      </w:r>
      <w:r w:rsidR="002A40D6" w:rsidRPr="00C67B82">
        <w:rPr>
          <w:rFonts w:asciiTheme="majorHAnsi" w:hAnsiTheme="majorHAnsi"/>
        </w:rPr>
        <w:t xml:space="preserve"> нарушавање</w:t>
      </w:r>
      <w:proofErr w:type="gramEnd"/>
      <w:r w:rsidR="002A40D6" w:rsidRPr="00C67B82">
        <w:rPr>
          <w:rFonts w:asciiTheme="majorHAnsi" w:hAnsiTheme="majorHAnsi"/>
        </w:rPr>
        <w:t xml:space="preserve"> јединства правног поретка („светска економска криза“, „стање грађевинске индустрије“). </w:t>
      </w:r>
      <w:proofErr w:type="gramStart"/>
      <w:r w:rsidR="002A40D6" w:rsidRPr="00C67B82">
        <w:rPr>
          <w:rFonts w:asciiTheme="majorHAnsi" w:hAnsiTheme="majorHAnsi"/>
        </w:rPr>
        <w:t xml:space="preserve">Међутим, проблем је у томе што ни један од тих разлога није омеђен неким објективним мерилом, било оно релевантно или не за </w:t>
      </w:r>
      <w:r w:rsidR="00A6484B" w:rsidRPr="00C67B82">
        <w:rPr>
          <w:rFonts w:asciiTheme="majorHAnsi" w:hAnsiTheme="majorHAnsi"/>
        </w:rPr>
        <w:t>оцену уставности.</w:t>
      </w:r>
      <w:proofErr w:type="gramEnd"/>
      <w:r w:rsidR="00B21358">
        <w:rPr>
          <w:rFonts w:asciiTheme="majorHAnsi" w:hAnsiTheme="majorHAnsi"/>
          <w:lang w:val="sr-Cyrl-CS"/>
        </w:rPr>
        <w:t xml:space="preserve"> </w:t>
      </w:r>
      <w:r w:rsidR="00D60776" w:rsidRPr="00C67B82">
        <w:rPr>
          <w:rFonts w:asciiTheme="majorHAnsi" w:hAnsiTheme="majorHAnsi"/>
        </w:rPr>
        <w:t>В</w:t>
      </w:r>
      <w:r w:rsidR="002A40D6" w:rsidRPr="00C67B82">
        <w:rPr>
          <w:rFonts w:asciiTheme="majorHAnsi" w:hAnsiTheme="majorHAnsi"/>
        </w:rPr>
        <w:t>ажење специјалног закона није орочено до момента када нека институција прогласи да је „светска економска криза</w:t>
      </w:r>
      <w:proofErr w:type="gramStart"/>
      <w:r w:rsidR="002A40D6" w:rsidRPr="00C67B82">
        <w:rPr>
          <w:rFonts w:asciiTheme="majorHAnsi" w:hAnsiTheme="majorHAnsi"/>
        </w:rPr>
        <w:t>“ престала</w:t>
      </w:r>
      <w:proofErr w:type="gramEnd"/>
      <w:r w:rsidR="002A40D6" w:rsidRPr="00C67B82">
        <w:rPr>
          <w:rFonts w:asciiTheme="majorHAnsi" w:hAnsiTheme="majorHAnsi"/>
        </w:rPr>
        <w:t xml:space="preserve"> или до момента када грађевинска индустрија у Републици Србији достигне одређени ниво економске активности (нпр. </w:t>
      </w:r>
      <w:proofErr w:type="gramStart"/>
      <w:r w:rsidR="002A40D6" w:rsidRPr="00C67B82">
        <w:rPr>
          <w:rFonts w:asciiTheme="majorHAnsi" w:hAnsiTheme="majorHAnsi"/>
        </w:rPr>
        <w:t>„100 милијарди динара промета на годишњем нивоу“, „100.000 запослених на крају године“</w:t>
      </w:r>
      <w:r w:rsidR="00DB4F44" w:rsidRPr="00C67B82">
        <w:rPr>
          <w:rFonts w:asciiTheme="majorHAnsi" w:hAnsiTheme="majorHAnsi"/>
        </w:rPr>
        <w:t xml:space="preserve">) који би </w:t>
      </w:r>
      <w:r w:rsidR="00D60776" w:rsidRPr="00C67B82">
        <w:rPr>
          <w:rFonts w:asciiTheme="majorHAnsi" w:hAnsiTheme="majorHAnsi"/>
        </w:rPr>
        <w:t>могао да послужи као</w:t>
      </w:r>
      <w:r w:rsidR="00DB4F44" w:rsidRPr="00C67B82">
        <w:rPr>
          <w:rFonts w:asciiTheme="majorHAnsi" w:hAnsiTheme="majorHAnsi"/>
        </w:rPr>
        <w:t xml:space="preserve"> мерило да та индустрија није у кризи која оправдава примену посебних мера.</w:t>
      </w:r>
      <w:proofErr w:type="gramEnd"/>
      <w:r w:rsidR="00DB4F44" w:rsidRPr="00C67B82">
        <w:rPr>
          <w:rFonts w:asciiTheme="majorHAnsi" w:hAnsiTheme="majorHAnsi"/>
        </w:rPr>
        <w:t xml:space="preserve"> </w:t>
      </w:r>
      <w:r w:rsidR="00D60776" w:rsidRPr="00C67B82">
        <w:rPr>
          <w:rFonts w:asciiTheme="majorHAnsi" w:hAnsiTheme="majorHAnsi"/>
        </w:rPr>
        <w:t>Пристајање</w:t>
      </w:r>
      <w:r w:rsidR="005F4C80">
        <w:rPr>
          <w:rFonts w:asciiTheme="majorHAnsi" w:hAnsiTheme="majorHAnsi"/>
        </w:rPr>
        <w:t>м на правну релевантност флуидно формулисаних</w:t>
      </w:r>
      <w:r w:rsidR="00D60776" w:rsidRPr="00C67B82">
        <w:rPr>
          <w:rFonts w:asciiTheme="majorHAnsi" w:hAnsiTheme="majorHAnsi"/>
        </w:rPr>
        <w:t xml:space="preserve"> разлога за нарушавање јединства правног поретка, Уставни суд </w:t>
      </w:r>
      <w:r w:rsidR="005F4C80">
        <w:rPr>
          <w:rFonts w:asciiTheme="majorHAnsi" w:hAnsiTheme="majorHAnsi"/>
        </w:rPr>
        <w:t xml:space="preserve">без потребе </w:t>
      </w:r>
      <w:r w:rsidR="00D60776" w:rsidRPr="00C67B82">
        <w:rPr>
          <w:rFonts w:asciiTheme="majorHAnsi" w:hAnsiTheme="majorHAnsi"/>
        </w:rPr>
        <w:t xml:space="preserve">долази у ситуацију да процењује питања за која није квалификован (нпр. да ли и даље трају последице светске економске кризе, да ли се поправило стање грађевинске индустрије до нивоа који не оправдава овакву законодавну интервенцију) или да некритички прихвата туђа мишљења о оправданости примене таквих мера.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5E7B99" w:rsidRDefault="00DB4F44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 xml:space="preserve">Уставни суд је ефективно </w:t>
      </w:r>
      <w:r w:rsidR="00D60776" w:rsidRPr="00C67B82">
        <w:rPr>
          <w:rFonts w:asciiTheme="majorHAnsi" w:hAnsiTheme="majorHAnsi"/>
        </w:rPr>
        <w:t xml:space="preserve">(мада није изричито наведено), на овом примеру </w:t>
      </w:r>
      <w:r w:rsidRPr="00C67B82">
        <w:rPr>
          <w:rFonts w:asciiTheme="majorHAnsi" w:hAnsiTheme="majorHAnsi"/>
        </w:rPr>
        <w:t xml:space="preserve">стао на становиште да </w:t>
      </w:r>
      <w:r w:rsidR="00D60776" w:rsidRPr="00C67B82">
        <w:rPr>
          <w:rFonts w:asciiTheme="majorHAnsi" w:hAnsiTheme="majorHAnsi"/>
        </w:rPr>
        <w:t xml:space="preserve">оно што </w:t>
      </w:r>
      <w:r w:rsidRPr="00C67B82">
        <w:rPr>
          <w:rFonts w:asciiTheme="majorHAnsi" w:hAnsiTheme="majorHAnsi"/>
        </w:rPr>
        <w:t xml:space="preserve">Влада као предлагач „специјалног“ закона наведе као оправдање, односно „јавни интерес“ за нарушавање јединства правног поретка, то треба и прихватити. </w:t>
      </w:r>
      <w:proofErr w:type="gramStart"/>
      <w:r w:rsidRPr="00C67B82">
        <w:rPr>
          <w:rFonts w:asciiTheme="majorHAnsi" w:hAnsiTheme="majorHAnsi"/>
        </w:rPr>
        <w:t>Такав приступ садржи у себи далеко већу опасност него што је продужење важења једног конкретног закона који нарушава јединство правног поретка.</w:t>
      </w:r>
      <w:proofErr w:type="gramEnd"/>
      <w:r w:rsidRPr="00C67B82">
        <w:rPr>
          <w:rFonts w:asciiTheme="majorHAnsi" w:hAnsiTheme="majorHAnsi"/>
        </w:rPr>
        <w:t xml:space="preserve"> Наравно, не мислимо да Уставни суд треба да се бави утврђивањем </w:t>
      </w:r>
      <w:r w:rsidR="005D4D9A" w:rsidRPr="00C67B82">
        <w:rPr>
          <w:rFonts w:asciiTheme="majorHAnsi" w:hAnsiTheme="majorHAnsi"/>
        </w:rPr>
        <w:t xml:space="preserve">истинитости или релевантности разлога које је предлагач навео </w:t>
      </w:r>
      <w:r w:rsidR="005E7B99" w:rsidRPr="00C67B82">
        <w:rPr>
          <w:rFonts w:asciiTheme="majorHAnsi" w:hAnsiTheme="majorHAnsi"/>
        </w:rPr>
        <w:t>у образложењу „специјалног закона“, већ да се бави искључиво ониме што јесте његов посао –</w:t>
      </w:r>
      <w:r w:rsidR="00162D74" w:rsidRPr="00C67B82">
        <w:rPr>
          <w:rFonts w:asciiTheme="majorHAnsi" w:hAnsiTheme="majorHAnsi"/>
        </w:rPr>
        <w:t xml:space="preserve"> питањем да ли правне норме </w:t>
      </w:r>
      <w:r w:rsidR="005E7B99" w:rsidRPr="00C67B82">
        <w:rPr>
          <w:rFonts w:asciiTheme="majorHAnsi" w:hAnsiTheme="majorHAnsi"/>
        </w:rPr>
        <w:t>нарушавају правни поредак земље.</w:t>
      </w:r>
      <w:r w:rsidR="00D60776" w:rsidRPr="00C67B82">
        <w:rPr>
          <w:rFonts w:asciiTheme="majorHAnsi" w:hAnsiTheme="majorHAnsi"/>
        </w:rPr>
        <w:t xml:space="preserve"> </w:t>
      </w:r>
      <w:proofErr w:type="gramStart"/>
      <w:r w:rsidR="00D60776" w:rsidRPr="00C67B82">
        <w:rPr>
          <w:rFonts w:asciiTheme="majorHAnsi" w:hAnsiTheme="majorHAnsi"/>
        </w:rPr>
        <w:t>Због тога сматрамо да наводна привременост</w:t>
      </w:r>
      <w:r w:rsidR="00162D74" w:rsidRPr="00C67B82">
        <w:rPr>
          <w:rFonts w:asciiTheme="majorHAnsi" w:hAnsiTheme="majorHAnsi"/>
        </w:rPr>
        <w:t xml:space="preserve"> важења овог закона,</w:t>
      </w:r>
      <w:r w:rsidR="00D60776" w:rsidRPr="00C67B82">
        <w:rPr>
          <w:rFonts w:asciiTheme="majorHAnsi" w:hAnsiTheme="majorHAnsi"/>
        </w:rPr>
        <w:t xml:space="preserve"> омеђена </w:t>
      </w:r>
      <w:r w:rsidR="00162D74" w:rsidRPr="00C67B82">
        <w:rPr>
          <w:rFonts w:asciiTheme="majorHAnsi" w:hAnsiTheme="majorHAnsi"/>
        </w:rPr>
        <w:t xml:space="preserve">разлозима који зависе од </w:t>
      </w:r>
      <w:r w:rsidR="00D60776" w:rsidRPr="00C67B82">
        <w:rPr>
          <w:rFonts w:asciiTheme="majorHAnsi" w:hAnsiTheme="majorHAnsi"/>
        </w:rPr>
        <w:t>арбит</w:t>
      </w:r>
      <w:r w:rsidR="00C66B6E">
        <w:rPr>
          <w:rFonts w:asciiTheme="majorHAnsi" w:hAnsiTheme="majorHAnsi"/>
          <w:lang w:val="sr-Cyrl-CS"/>
        </w:rPr>
        <w:t>р</w:t>
      </w:r>
      <w:r w:rsidR="00162D74" w:rsidRPr="00C67B82">
        <w:rPr>
          <w:rFonts w:asciiTheme="majorHAnsi" w:hAnsiTheme="majorHAnsi"/>
        </w:rPr>
        <w:t>ерне процене предлагача закона о оправданости да закон и даље остане на снази, не може бити основ да се утврди да начело јединства правног поретка није нарушено.</w:t>
      </w:r>
      <w:proofErr w:type="gramEnd"/>
      <w:r w:rsidR="00162D74" w:rsidRPr="00C67B82">
        <w:rPr>
          <w:rFonts w:asciiTheme="majorHAnsi" w:hAnsiTheme="majorHAnsi"/>
        </w:rPr>
        <w:t xml:space="preserve">  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162D74" w:rsidRPr="00C67B82" w:rsidRDefault="001B3396" w:rsidP="003276A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sr-Cyrl-CS"/>
        </w:rPr>
        <w:t xml:space="preserve">6. </w:t>
      </w:r>
      <w:r w:rsidR="00162D74" w:rsidRPr="00C67B82">
        <w:rPr>
          <w:rFonts w:asciiTheme="majorHAnsi" w:hAnsiTheme="majorHAnsi"/>
          <w:i/>
        </w:rPr>
        <w:t>Непостојећа обавеза државе</w:t>
      </w:r>
    </w:p>
    <w:p w:rsidR="003276AE" w:rsidRDefault="003276AE" w:rsidP="003276AE">
      <w:pPr>
        <w:rPr>
          <w:rFonts w:asciiTheme="majorHAnsi" w:hAnsiTheme="majorHAnsi"/>
        </w:rPr>
      </w:pPr>
    </w:p>
    <w:p w:rsidR="005E7B99" w:rsidRDefault="005E7B99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Уставни суд наводи да „Устав не познаје изричито овлашћење државе да одређеним законодавним мерама интервенише на тржишту, а у циљу превазилажења негативних еф</w:t>
      </w:r>
      <w:r w:rsidR="005E0EA9">
        <w:rPr>
          <w:rFonts w:asciiTheme="majorHAnsi" w:hAnsiTheme="majorHAnsi"/>
        </w:rPr>
        <w:t>еката „светске економске кризе“</w:t>
      </w:r>
      <w:r w:rsidRPr="00C67B82">
        <w:rPr>
          <w:rFonts w:asciiTheme="majorHAnsi" w:hAnsiTheme="majorHAnsi"/>
        </w:rPr>
        <w:t>.</w:t>
      </w:r>
      <w:proofErr w:type="gramEnd"/>
      <w:r w:rsidRPr="00C67B82">
        <w:rPr>
          <w:rFonts w:asciiTheme="majorHAnsi" w:hAnsiTheme="majorHAnsi"/>
        </w:rPr>
        <w:t xml:space="preserve"> </w:t>
      </w:r>
      <w:proofErr w:type="gramStart"/>
      <w:r w:rsidRPr="00C67B82">
        <w:rPr>
          <w:rFonts w:asciiTheme="majorHAnsi" w:hAnsiTheme="majorHAnsi"/>
        </w:rPr>
        <w:t>Међутим, Суд даље закључује, да из „уставног овлашћења државе да уређује и обезбеђује систем обављања појединих привредних и других делатности (члан 97.</w:t>
      </w:r>
      <w:proofErr w:type="gramEnd"/>
      <w:r w:rsidRPr="00C67B82">
        <w:rPr>
          <w:rFonts w:asciiTheme="majorHAnsi" w:hAnsiTheme="majorHAnsi"/>
        </w:rPr>
        <w:t xml:space="preserve"> </w:t>
      </w:r>
      <w:proofErr w:type="gramStart"/>
      <w:r w:rsidRPr="00C67B82">
        <w:rPr>
          <w:rFonts w:asciiTheme="majorHAnsi" w:hAnsiTheme="majorHAnsi"/>
        </w:rPr>
        <w:t>тачка</w:t>
      </w:r>
      <w:proofErr w:type="gramEnd"/>
      <w:r w:rsidRPr="00C67B82">
        <w:rPr>
          <w:rFonts w:asciiTheme="majorHAnsi" w:hAnsiTheme="majorHAnsi"/>
        </w:rPr>
        <w:t xml:space="preserve"> 6)“, произлази „позитивна обавеза државе да увођењем довољних и адекватних мера законодавне политике и њиховим спровођењем преко надлежних државних органа, спречи настанак поремећаја на тржишту или смањи ризик од њиховог настанка и ублажи негативне ефекте насталих поремећаја и тиме заштити интересе грађана и привредног система у целини.“ </w:t>
      </w:r>
      <w:proofErr w:type="gramStart"/>
      <w:r w:rsidRPr="00C67B82">
        <w:rPr>
          <w:rFonts w:asciiTheme="majorHAnsi" w:hAnsiTheme="majorHAnsi"/>
        </w:rPr>
        <w:t>Даље се констатује да су се ефекти кризе неповољно одразили на грађевинску индустрију, која бележи константан пад у 2009.</w:t>
      </w:r>
      <w:proofErr w:type="gramEnd"/>
      <w:r w:rsidRPr="00C67B82">
        <w:rPr>
          <w:rFonts w:asciiTheme="majorHAnsi" w:hAnsiTheme="majorHAnsi"/>
        </w:rPr>
        <w:t xml:space="preserve"> </w:t>
      </w:r>
      <w:proofErr w:type="gramStart"/>
      <w:r w:rsidRPr="00C67B82">
        <w:rPr>
          <w:rFonts w:asciiTheme="majorHAnsi" w:hAnsiTheme="majorHAnsi"/>
        </w:rPr>
        <w:t>и</w:t>
      </w:r>
      <w:proofErr w:type="gramEnd"/>
      <w:r w:rsidRPr="00C67B82">
        <w:rPr>
          <w:rFonts w:asciiTheme="majorHAnsi" w:hAnsiTheme="majorHAnsi"/>
        </w:rPr>
        <w:t xml:space="preserve"> 2010. </w:t>
      </w:r>
      <w:proofErr w:type="gramStart"/>
      <w:r w:rsidRPr="00C67B82">
        <w:rPr>
          <w:rFonts w:asciiTheme="majorHAnsi" w:hAnsiTheme="majorHAnsi"/>
        </w:rPr>
        <w:t>години</w:t>
      </w:r>
      <w:proofErr w:type="gramEnd"/>
      <w:r w:rsidRPr="00C67B82">
        <w:rPr>
          <w:rFonts w:asciiTheme="majorHAnsi" w:hAnsiTheme="majorHAnsi"/>
        </w:rPr>
        <w:t xml:space="preserve"> итд. 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9C0F60" w:rsidRPr="00C67B82" w:rsidRDefault="008977BA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У вези са овим ваља се замислити над тиме шта наведена одредба Устава заиста значи.</w:t>
      </w:r>
      <w:proofErr w:type="gramEnd"/>
      <w:r w:rsidR="00612668">
        <w:rPr>
          <w:rFonts w:asciiTheme="majorHAnsi" w:hAnsiTheme="majorHAnsi"/>
          <w:lang w:val="sr-Cyrl-CS"/>
        </w:rPr>
        <w:t xml:space="preserve"> </w:t>
      </w:r>
      <w:r w:rsidRPr="00C67B82">
        <w:rPr>
          <w:rFonts w:asciiTheme="majorHAnsi" w:hAnsiTheme="majorHAnsi"/>
        </w:rPr>
        <w:t xml:space="preserve">Устав није прописао које су то привредне и друге делатности које је држава овлашћена да уреди и обезбеди, то јест, ни овом ни другим нормама Устава, није прецизирано које су то „поједине“ привредне и друге делатности. Друго, Устав је прописао „овлашћење“ државе да неке привредне и друге делатности уређује и обезбеђује, а не и „обавезу“ да то </w:t>
      </w:r>
      <w:r w:rsidR="00CB54D4" w:rsidRPr="00C67B82">
        <w:rPr>
          <w:rFonts w:asciiTheme="majorHAnsi" w:hAnsiTheme="majorHAnsi"/>
        </w:rPr>
        <w:t>у</w:t>
      </w:r>
      <w:r w:rsidRPr="00C67B82">
        <w:rPr>
          <w:rFonts w:asciiTheme="majorHAnsi" w:hAnsiTheme="majorHAnsi"/>
        </w:rPr>
        <w:t xml:space="preserve">чини. </w:t>
      </w:r>
      <w:proofErr w:type="gramStart"/>
      <w:r w:rsidR="00CB54D4" w:rsidRPr="00C67B82">
        <w:rPr>
          <w:rFonts w:asciiTheme="majorHAnsi" w:hAnsiTheme="majorHAnsi"/>
        </w:rPr>
        <w:t xml:space="preserve">Има привредних, а поготово других делатности које </w:t>
      </w:r>
      <w:r w:rsidR="005F4C80">
        <w:rPr>
          <w:rFonts w:asciiTheme="majorHAnsi" w:hAnsiTheme="majorHAnsi"/>
        </w:rPr>
        <w:t xml:space="preserve">у Републици Србији </w:t>
      </w:r>
      <w:r w:rsidR="00CB54D4" w:rsidRPr="00C67B82">
        <w:rPr>
          <w:rFonts w:asciiTheme="majorHAnsi" w:hAnsiTheme="majorHAnsi"/>
        </w:rPr>
        <w:t>нису уопште уређене.</w:t>
      </w:r>
      <w:proofErr w:type="gramEnd"/>
      <w:r w:rsidR="00CB54D4" w:rsidRPr="00C67B82">
        <w:rPr>
          <w:rFonts w:asciiTheme="majorHAnsi" w:hAnsiTheme="majorHAnsi"/>
        </w:rPr>
        <w:t xml:space="preserve"> </w:t>
      </w:r>
      <w:r w:rsidR="000B5746" w:rsidRPr="00C67B82">
        <w:rPr>
          <w:rFonts w:asciiTheme="majorHAnsi" w:hAnsiTheme="majorHAnsi"/>
        </w:rPr>
        <w:t xml:space="preserve">Штавише, постоје привредне и друге делатности које су забрањене, па се свакако </w:t>
      </w:r>
      <w:r w:rsidR="009C0F60" w:rsidRPr="00C67B82">
        <w:rPr>
          <w:rFonts w:asciiTheme="majorHAnsi" w:hAnsiTheme="majorHAnsi"/>
        </w:rPr>
        <w:t>не може из Устава извести</w:t>
      </w:r>
      <w:r w:rsidR="000B5746" w:rsidRPr="00C67B82">
        <w:rPr>
          <w:rFonts w:asciiTheme="majorHAnsi" w:hAnsiTheme="majorHAnsi"/>
        </w:rPr>
        <w:t xml:space="preserve"> да је држава обавезна да „обезбеди систем обављања“ сваке могуће привредне или друге делатности. </w:t>
      </w:r>
      <w:proofErr w:type="gramStart"/>
      <w:r w:rsidR="009C0F60" w:rsidRPr="00C67B82">
        <w:rPr>
          <w:rFonts w:asciiTheme="majorHAnsi" w:hAnsiTheme="majorHAnsi"/>
        </w:rPr>
        <w:t xml:space="preserve">Дакле, Устав не прописује обавезу државе да уреди и обезбеди систем обављања ни једне конкренте привредне делатности, тако да </w:t>
      </w:r>
      <w:r w:rsidR="009C0F60" w:rsidRPr="00C67B82">
        <w:rPr>
          <w:rFonts w:asciiTheme="majorHAnsi" w:hAnsiTheme="majorHAnsi"/>
        </w:rPr>
        <w:lastRenderedPageBreak/>
        <w:t>се из члана 97.</w:t>
      </w:r>
      <w:proofErr w:type="gramEnd"/>
      <w:r w:rsidR="009C0F60" w:rsidRPr="00C67B82">
        <w:rPr>
          <w:rFonts w:asciiTheme="majorHAnsi" w:hAnsiTheme="majorHAnsi"/>
        </w:rPr>
        <w:t xml:space="preserve"> т. 6. Устава не може ни извести „позитивна обавеза</w:t>
      </w:r>
      <w:proofErr w:type="gramStart"/>
      <w:r w:rsidR="009C0F60" w:rsidRPr="00C67B82">
        <w:rPr>
          <w:rFonts w:asciiTheme="majorHAnsi" w:hAnsiTheme="majorHAnsi"/>
        </w:rPr>
        <w:t>“ о</w:t>
      </w:r>
      <w:proofErr w:type="gramEnd"/>
      <w:r w:rsidR="009C0F60" w:rsidRPr="00C67B82">
        <w:rPr>
          <w:rFonts w:asciiTheme="majorHAnsi" w:hAnsiTheme="majorHAnsi"/>
        </w:rPr>
        <w:t xml:space="preserve"> којој говори Уставни суд. </w:t>
      </w:r>
    </w:p>
    <w:p w:rsidR="00162D74" w:rsidRPr="00C67B82" w:rsidRDefault="000A691F" w:rsidP="003276A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sr-Cyrl-CS"/>
        </w:rPr>
        <w:t xml:space="preserve">7. </w:t>
      </w:r>
      <w:proofErr w:type="gramStart"/>
      <w:r w:rsidR="00162D74" w:rsidRPr="00C67B82">
        <w:rPr>
          <w:rFonts w:asciiTheme="majorHAnsi" w:hAnsiTheme="majorHAnsi"/>
          <w:i/>
        </w:rPr>
        <w:t>Шта држава заиста треба да обезбеди?</w:t>
      </w:r>
      <w:proofErr w:type="gramEnd"/>
    </w:p>
    <w:p w:rsidR="003276AE" w:rsidRDefault="003276AE" w:rsidP="003276AE">
      <w:pPr>
        <w:rPr>
          <w:rFonts w:asciiTheme="majorHAnsi" w:hAnsiTheme="majorHAnsi"/>
        </w:rPr>
      </w:pPr>
    </w:p>
    <w:p w:rsidR="00306E7C" w:rsidRDefault="009C0F60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>Ако би се ипак прихватило да „овлашћење</w:t>
      </w:r>
      <w:proofErr w:type="gramStart"/>
      <w:r w:rsidRPr="00C67B82">
        <w:rPr>
          <w:rFonts w:asciiTheme="majorHAnsi" w:hAnsiTheme="majorHAnsi"/>
        </w:rPr>
        <w:t>“ из</w:t>
      </w:r>
      <w:proofErr w:type="gramEnd"/>
      <w:r w:rsidRPr="00C67B82">
        <w:rPr>
          <w:rFonts w:asciiTheme="majorHAnsi" w:hAnsiTheme="majorHAnsi"/>
        </w:rPr>
        <w:t xml:space="preserve"> члана 97. Ус</w:t>
      </w:r>
      <w:r w:rsidR="00AE6A29">
        <w:rPr>
          <w:rFonts w:asciiTheme="majorHAnsi" w:hAnsiTheme="majorHAnsi"/>
        </w:rPr>
        <w:t>т</w:t>
      </w:r>
      <w:r w:rsidRPr="00C67B82">
        <w:rPr>
          <w:rFonts w:asciiTheme="majorHAnsi" w:hAnsiTheme="majorHAnsi"/>
        </w:rPr>
        <w:t>ава представља и „обавезу</w:t>
      </w:r>
      <w:proofErr w:type="gramStart"/>
      <w:r w:rsidRPr="00C67B82">
        <w:rPr>
          <w:rFonts w:asciiTheme="majorHAnsi" w:hAnsiTheme="majorHAnsi"/>
        </w:rPr>
        <w:t>“ државе</w:t>
      </w:r>
      <w:proofErr w:type="gramEnd"/>
      <w:r w:rsidRPr="00C67B82">
        <w:rPr>
          <w:rFonts w:asciiTheme="majorHAnsi" w:hAnsiTheme="majorHAnsi"/>
        </w:rPr>
        <w:t>, треба видети у чему би се та обавеза заправо састојала. То би могла да буде обавеза да се уреди обављање одређене привредне делатности – на пример, да се пропише које услове морају да испуне привредни субјекти да би могли да се баве грађевинском делатношћу, које стандарде морају да поштују у погледу квалитета производа, радова и услуга и</w:t>
      </w:r>
      <w:r w:rsidR="00826254">
        <w:rPr>
          <w:rFonts w:asciiTheme="majorHAnsi" w:hAnsiTheme="majorHAnsi"/>
        </w:rPr>
        <w:t xml:space="preserve"> безбедности запослених на раду</w:t>
      </w:r>
      <w:r w:rsidR="001433F4" w:rsidRPr="00C67B82">
        <w:rPr>
          <w:rFonts w:asciiTheme="majorHAnsi" w:hAnsiTheme="majorHAnsi"/>
        </w:rPr>
        <w:t xml:space="preserve"> и томе слично. </w:t>
      </w:r>
      <w:proofErr w:type="gramStart"/>
      <w:r w:rsidR="001433F4" w:rsidRPr="00C67B82">
        <w:rPr>
          <w:rFonts w:asciiTheme="majorHAnsi" w:hAnsiTheme="majorHAnsi"/>
        </w:rPr>
        <w:t>Такви прописи у Републици Србији већ постоје.</w:t>
      </w:r>
      <w:proofErr w:type="gramEnd"/>
      <w:r w:rsidR="001433F4" w:rsidRPr="00C67B82">
        <w:rPr>
          <w:rFonts w:asciiTheme="majorHAnsi" w:hAnsiTheme="majorHAnsi"/>
        </w:rPr>
        <w:t xml:space="preserve">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306E7C" w:rsidRDefault="00ED5FA6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Обавеза обезбеђивања система за обављање делатности би могла да обухвати дужност државних органа да обезбеде примену прописа – нпр.</w:t>
      </w:r>
      <w:proofErr w:type="gramEnd"/>
      <w:r w:rsidRPr="00C67B82">
        <w:rPr>
          <w:rFonts w:asciiTheme="majorHAnsi" w:hAnsiTheme="majorHAnsi"/>
        </w:rPr>
        <w:t xml:space="preserve"> дужност </w:t>
      </w:r>
      <w:r w:rsidR="00BE6CB3" w:rsidRPr="00C67B82">
        <w:rPr>
          <w:rFonts w:asciiTheme="majorHAnsi" w:hAnsiTheme="majorHAnsi"/>
        </w:rPr>
        <w:t>инспекцијских органа да контролишу поштовање закона о зашити на раду и прописаног квалитета изградње и да на тај начин заштите интересе оних прописе поштују и друштва у целини; дужност државе да обезбеди извршење уговора кроз делотворну судску заштиту; дужност државе да у случају да је обављање неке привредне делатности грађанима неопходно али привредницима није исплативо, обезбеди да се та делатност ипак врши, тако ш</w:t>
      </w:r>
      <w:r w:rsidR="00E10FA4" w:rsidRPr="00C67B82">
        <w:rPr>
          <w:rFonts w:asciiTheme="majorHAnsi" w:hAnsiTheme="majorHAnsi"/>
        </w:rPr>
        <w:t>то ће основати јавно предузеће које ће пружати те услуге грађанима. Очигледно је да Република Србија није учинила оно што је морала да би обезбедила да систем функционише у складу са законом, што се, између осталог огл</w:t>
      </w:r>
      <w:r w:rsidR="00162D74" w:rsidRPr="00C67B82">
        <w:rPr>
          <w:rFonts w:asciiTheme="majorHAnsi" w:hAnsiTheme="majorHAnsi"/>
        </w:rPr>
        <w:t xml:space="preserve">еда и у великом броју </w:t>
      </w:r>
      <w:r w:rsidR="00000FAD" w:rsidRPr="00C67B82">
        <w:rPr>
          <w:rFonts w:asciiTheme="majorHAnsi" w:hAnsiTheme="majorHAnsi"/>
        </w:rPr>
        <w:t xml:space="preserve">грађевинских објеката </w:t>
      </w:r>
      <w:r w:rsidR="00162D74" w:rsidRPr="00C67B82">
        <w:rPr>
          <w:rFonts w:asciiTheme="majorHAnsi" w:hAnsiTheme="majorHAnsi"/>
        </w:rPr>
        <w:t xml:space="preserve">подигнутих без дозволе </w:t>
      </w:r>
      <w:r w:rsidR="00000FAD" w:rsidRPr="00C67B82">
        <w:rPr>
          <w:rFonts w:asciiTheme="majorHAnsi" w:hAnsiTheme="majorHAnsi"/>
        </w:rPr>
        <w:t>и без контроле прописа</w:t>
      </w:r>
      <w:r w:rsidR="00AE6A29">
        <w:rPr>
          <w:rFonts w:asciiTheme="majorHAnsi" w:hAnsiTheme="majorHAnsi"/>
        </w:rPr>
        <w:t>ног квалитета изградње, у неретким</w:t>
      </w:r>
      <w:r w:rsidR="00000FAD" w:rsidRPr="00C67B82">
        <w:rPr>
          <w:rFonts w:asciiTheme="majorHAnsi" w:hAnsiTheme="majorHAnsi"/>
        </w:rPr>
        <w:t xml:space="preserve"> случајевима трагедија услед непоштовања прописа о безбедности које су последица неадекватне контроле, у финансијском пропадању грађевинских фирми услед немогућности да наплате своја потраживања, не само од других привредних субјеката </w:t>
      </w:r>
      <w:r w:rsidR="00AE6A29">
        <w:rPr>
          <w:rFonts w:asciiTheme="majorHAnsi" w:hAnsiTheme="majorHAnsi"/>
        </w:rPr>
        <w:t xml:space="preserve">већ пре свега </w:t>
      </w:r>
      <w:r w:rsidR="00000FAD" w:rsidRPr="00C67B82">
        <w:rPr>
          <w:rFonts w:asciiTheme="majorHAnsi" w:hAnsiTheme="majorHAnsi"/>
        </w:rPr>
        <w:t xml:space="preserve">од јавног сектора, у немогућности да се предузме изградња објеката за које постоји интересовање услед непостојања урбанистичких планова, </w:t>
      </w:r>
      <w:r w:rsidR="00306E7C" w:rsidRPr="00C67B82">
        <w:rPr>
          <w:rFonts w:asciiTheme="majorHAnsi" w:hAnsiTheme="majorHAnsi"/>
        </w:rPr>
        <w:t>спорости у издавању дозвола за изградњу и неажурности евиденција о власништву, у немогућности домаћих грађевинских фирми да учествују у радовима који се финансирају из кредита и кроз међудржавне споразуме, зато што су државни преговарачи пристали на дискриминаторне услове спровођења таквих набавки итд.</w:t>
      </w:r>
      <w:r w:rsidR="009728A8">
        <w:rPr>
          <w:rFonts w:asciiTheme="majorHAnsi" w:hAnsiTheme="majorHAnsi"/>
        </w:rPr>
        <w:t xml:space="preserve"> </w:t>
      </w:r>
      <w:proofErr w:type="gramStart"/>
      <w:r w:rsidR="009728A8">
        <w:rPr>
          <w:rFonts w:asciiTheme="majorHAnsi" w:hAnsiTheme="majorHAnsi"/>
        </w:rPr>
        <w:t>Чињеница да држава није обезбедила да систем за обављање грађевинске делатности несметано функционише у оквиру постојећих прописа, свакако указује потребу за појачаним ангажовањем државних органа у испуњавању оног што јесте њихова законска обавеза, а не и ваљан разлог да се крше одредбе других прописа.</w:t>
      </w:r>
      <w:proofErr w:type="gramEnd"/>
    </w:p>
    <w:p w:rsidR="003276AE" w:rsidRPr="00C67B82" w:rsidRDefault="003276AE" w:rsidP="003276AE">
      <w:pPr>
        <w:rPr>
          <w:rFonts w:asciiTheme="majorHAnsi" w:hAnsiTheme="majorHAnsi"/>
        </w:rPr>
      </w:pPr>
    </w:p>
    <w:p w:rsidR="00162D74" w:rsidRPr="00C67B82" w:rsidRDefault="002B6E5D" w:rsidP="003276A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sr-Cyrl-CS"/>
        </w:rPr>
        <w:t xml:space="preserve">8. </w:t>
      </w:r>
      <w:proofErr w:type="gramStart"/>
      <w:r w:rsidR="00094B05" w:rsidRPr="00C67B82">
        <w:rPr>
          <w:rFonts w:asciiTheme="majorHAnsi" w:hAnsiTheme="majorHAnsi"/>
          <w:i/>
        </w:rPr>
        <w:t>Неуставна дискриминација других привредних делатности?</w:t>
      </w:r>
      <w:proofErr w:type="gramEnd"/>
    </w:p>
    <w:p w:rsidR="003276AE" w:rsidRDefault="003276AE" w:rsidP="003276AE">
      <w:pPr>
        <w:rPr>
          <w:rFonts w:asciiTheme="majorHAnsi" w:hAnsiTheme="majorHAnsi"/>
        </w:rPr>
      </w:pPr>
    </w:p>
    <w:p w:rsidR="00976D40" w:rsidRDefault="00094B05" w:rsidP="003276AE">
      <w:pPr>
        <w:rPr>
          <w:rFonts w:asciiTheme="majorHAnsi" w:hAnsiTheme="majorHAnsi"/>
        </w:rPr>
      </w:pPr>
      <w:r w:rsidRPr="00C67B82">
        <w:rPr>
          <w:rFonts w:asciiTheme="majorHAnsi" w:hAnsiTheme="majorHAnsi"/>
        </w:rPr>
        <w:t>Из тумачења „обавезе“</w:t>
      </w:r>
      <w:r w:rsidR="00306E7C" w:rsidRPr="00C67B82">
        <w:rPr>
          <w:rFonts w:asciiTheme="majorHAnsi" w:hAnsiTheme="majorHAnsi"/>
        </w:rPr>
        <w:t xml:space="preserve"> државе </w:t>
      </w:r>
      <w:r w:rsidR="0035067C" w:rsidRPr="00C67B82">
        <w:rPr>
          <w:rFonts w:asciiTheme="majorHAnsi" w:hAnsiTheme="majorHAnsi"/>
        </w:rPr>
        <w:t>„</w:t>
      </w:r>
      <w:r w:rsidR="00306E7C" w:rsidRPr="00C67B82">
        <w:rPr>
          <w:rFonts w:asciiTheme="majorHAnsi" w:hAnsiTheme="majorHAnsi"/>
        </w:rPr>
        <w:t>да обезбеди систем обављања неке делатности</w:t>
      </w:r>
      <w:r w:rsidR="0035067C" w:rsidRPr="00C67B82">
        <w:rPr>
          <w:rFonts w:asciiTheme="majorHAnsi" w:hAnsiTheme="majorHAnsi"/>
        </w:rPr>
        <w:t>“</w:t>
      </w:r>
      <w:r w:rsidR="00306E7C" w:rsidRPr="00C67B82">
        <w:rPr>
          <w:rFonts w:asciiTheme="majorHAnsi" w:hAnsiTheme="majorHAnsi"/>
        </w:rPr>
        <w:t xml:space="preserve">, </w:t>
      </w:r>
      <w:r w:rsidR="009728A8">
        <w:rPr>
          <w:rFonts w:asciiTheme="majorHAnsi" w:hAnsiTheme="majorHAnsi"/>
        </w:rPr>
        <w:t>у овом случају</w:t>
      </w:r>
      <w:r w:rsidR="00D0478C">
        <w:rPr>
          <w:rFonts w:asciiTheme="majorHAnsi" w:hAnsiTheme="majorHAnsi"/>
          <w:lang w:val="sr-Cyrl-CS"/>
        </w:rPr>
        <w:t xml:space="preserve"> </w:t>
      </w:r>
      <w:r w:rsidRPr="00C67B82">
        <w:rPr>
          <w:rFonts w:asciiTheme="majorHAnsi" w:hAnsiTheme="majorHAnsi"/>
        </w:rPr>
        <w:t xml:space="preserve">се може закључити да је Уставни суд стао на становиште </w:t>
      </w:r>
      <w:r w:rsidR="00306E7C" w:rsidRPr="00C67B82">
        <w:rPr>
          <w:rFonts w:asciiTheme="majorHAnsi" w:hAnsiTheme="majorHAnsi"/>
        </w:rPr>
        <w:t xml:space="preserve">да се у случају </w:t>
      </w:r>
      <w:r w:rsidRPr="00C67B82">
        <w:rPr>
          <w:rFonts w:asciiTheme="majorHAnsi" w:hAnsiTheme="majorHAnsi"/>
        </w:rPr>
        <w:t>ка</w:t>
      </w:r>
      <w:r w:rsidR="00306E7C" w:rsidRPr="00C67B82">
        <w:rPr>
          <w:rFonts w:asciiTheme="majorHAnsi" w:hAnsiTheme="majorHAnsi"/>
        </w:rPr>
        <w:t>да предузећа из неке привредне гране немају онолико посла колико су имали у некој ранијој години</w:t>
      </w:r>
      <w:r w:rsidR="002E5D9A">
        <w:rPr>
          <w:rFonts w:asciiTheme="majorHAnsi" w:hAnsiTheme="majorHAnsi"/>
          <w:lang w:val="sr-Cyrl-CS"/>
        </w:rPr>
        <w:t xml:space="preserve"> </w:t>
      </w:r>
      <w:r w:rsidR="00F349D6" w:rsidRPr="00C67B82">
        <w:rPr>
          <w:rFonts w:asciiTheme="majorHAnsi" w:hAnsiTheme="majorHAnsi"/>
        </w:rPr>
        <w:t>(што се десило са грађевинском индустријом у 2009</w:t>
      </w:r>
      <w:r w:rsidR="00D136B9">
        <w:rPr>
          <w:rFonts w:asciiTheme="majorHAnsi" w:hAnsiTheme="majorHAnsi"/>
          <w:lang w:val="sr-Cyrl-CS"/>
        </w:rPr>
        <w:t>.</w:t>
      </w:r>
      <w:r w:rsidR="00F349D6" w:rsidRPr="00C67B82">
        <w:rPr>
          <w:rFonts w:asciiTheme="majorHAnsi" w:hAnsiTheme="majorHAnsi"/>
        </w:rPr>
        <w:t xml:space="preserve">) </w:t>
      </w:r>
      <w:r w:rsidRPr="00C67B82">
        <w:rPr>
          <w:rFonts w:asciiTheme="majorHAnsi" w:hAnsiTheme="majorHAnsi"/>
        </w:rPr>
        <w:t>и када се тај пад обима пословања може повезати са „светском економском кризом“,</w:t>
      </w:r>
      <w:r w:rsidR="0030184A">
        <w:rPr>
          <w:rFonts w:asciiTheme="majorHAnsi" w:hAnsiTheme="majorHAnsi"/>
          <w:lang w:val="sr-Cyrl-CS"/>
        </w:rPr>
        <w:t xml:space="preserve"> </w:t>
      </w:r>
      <w:r w:rsidRPr="00C67B82">
        <w:rPr>
          <w:rFonts w:asciiTheme="majorHAnsi" w:hAnsiTheme="majorHAnsi"/>
        </w:rPr>
        <w:t xml:space="preserve">држава има обавезу да тај </w:t>
      </w:r>
      <w:r w:rsidR="00306E7C" w:rsidRPr="00C67B82">
        <w:rPr>
          <w:rFonts w:asciiTheme="majorHAnsi" w:hAnsiTheme="majorHAnsi"/>
        </w:rPr>
        <w:t>обим посла обезбеди</w:t>
      </w:r>
      <w:r w:rsidR="0035067C" w:rsidRPr="00C67B82">
        <w:rPr>
          <w:rFonts w:asciiTheme="majorHAnsi" w:hAnsiTheme="majorHAnsi"/>
        </w:rPr>
        <w:t xml:space="preserve"> тако што ће наручити </w:t>
      </w:r>
      <w:r w:rsidRPr="00C67B82">
        <w:rPr>
          <w:rFonts w:asciiTheme="majorHAnsi" w:hAnsiTheme="majorHAnsi"/>
        </w:rPr>
        <w:t>радове и прописати процедуру за доделу посла супротну системском закону</w:t>
      </w:r>
      <w:r w:rsidR="00F349D6" w:rsidRPr="00C67B82">
        <w:rPr>
          <w:rFonts w:asciiTheme="majorHAnsi" w:hAnsiTheme="majorHAnsi"/>
        </w:rPr>
        <w:t xml:space="preserve">. </w:t>
      </w:r>
      <w:r w:rsidR="0030184A">
        <w:rPr>
          <w:rFonts w:asciiTheme="majorHAnsi" w:hAnsiTheme="majorHAnsi"/>
        </w:rPr>
        <w:t xml:space="preserve">Додуше, Уставни суд, помиње да </w:t>
      </w:r>
      <w:r w:rsidR="00F349D6" w:rsidRPr="00C67B82">
        <w:rPr>
          <w:rFonts w:asciiTheme="majorHAnsi" w:hAnsiTheme="majorHAnsi"/>
        </w:rPr>
        <w:t>„редовне“ и већ постојеће мере нису дале задовољавајуће резултате“,</w:t>
      </w:r>
      <w:r w:rsidR="00976D40" w:rsidRPr="00C67B82">
        <w:rPr>
          <w:rFonts w:asciiTheme="majorHAnsi" w:hAnsiTheme="majorHAnsi"/>
        </w:rPr>
        <w:t xml:space="preserve"> (мада не наводи које су то мере покушане) </w:t>
      </w:r>
      <w:r w:rsidR="00DB3098">
        <w:rPr>
          <w:rFonts w:asciiTheme="majorHAnsi" w:hAnsiTheme="majorHAnsi"/>
        </w:rPr>
        <w:t>те да је стога „полазећи од спе</w:t>
      </w:r>
      <w:r w:rsidR="00976D40" w:rsidRPr="00C67B82">
        <w:rPr>
          <w:rFonts w:asciiTheme="majorHAnsi" w:hAnsiTheme="majorHAnsi"/>
        </w:rPr>
        <w:t xml:space="preserve">цифичности и значаја грађевинске индустрије за привредну и социјалну стабилност“ (који није објашњен), „а уважавајући околности и величину поремећаја који је светска економска криза проузроковала грађевинарству“ (која није образложена), „за доношење оспореног Закона постојао и </w:t>
      </w:r>
      <w:r w:rsidR="00C93ED9">
        <w:rPr>
          <w:rFonts w:asciiTheme="majorHAnsi" w:hAnsiTheme="majorHAnsi"/>
        </w:rPr>
        <w:t>јак друштвени интерес да држава</w:t>
      </w:r>
      <w:r w:rsidR="00976D40" w:rsidRPr="00C67B82">
        <w:rPr>
          <w:rFonts w:asciiTheme="majorHAnsi" w:hAnsiTheme="majorHAnsi"/>
        </w:rPr>
        <w:t xml:space="preserve"> обезбеди опстанак домаће грађевинске индустрије, а самим тим и очување економске стабилности државе и обезбеђивање социјалне заштите грађана“.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732652" w:rsidRDefault="00732652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lastRenderedPageBreak/>
        <w:t xml:space="preserve">Када би овакво виђење уставних обавеза било исправно, </w:t>
      </w:r>
      <w:r w:rsidR="004E6A35" w:rsidRPr="00C67B82">
        <w:rPr>
          <w:rFonts w:asciiTheme="majorHAnsi" w:hAnsiTheme="majorHAnsi"/>
        </w:rPr>
        <w:t xml:space="preserve">то би значило </w:t>
      </w:r>
      <w:r w:rsidR="00E325A4" w:rsidRPr="00C67B82">
        <w:rPr>
          <w:rFonts w:asciiTheme="majorHAnsi" w:hAnsiTheme="majorHAnsi"/>
        </w:rPr>
        <w:t>да су државни органи прекршили своју обавезу тиме што нису донели законе који би били супротни системском Закону о јавним набавкама и у другим областима.</w:t>
      </w:r>
      <w:proofErr w:type="gramEnd"/>
      <w:r w:rsidR="00E325A4" w:rsidRPr="00C67B82">
        <w:rPr>
          <w:rFonts w:asciiTheme="majorHAnsi" w:hAnsiTheme="majorHAnsi"/>
        </w:rPr>
        <w:t xml:space="preserve"> </w:t>
      </w:r>
      <w:proofErr w:type="gramStart"/>
      <w:r w:rsidR="00E325A4" w:rsidRPr="00C67B82">
        <w:rPr>
          <w:rFonts w:asciiTheme="majorHAnsi" w:hAnsiTheme="majorHAnsi"/>
        </w:rPr>
        <w:t xml:space="preserve">На пример, </w:t>
      </w:r>
      <w:r w:rsidR="00E325A4" w:rsidRPr="00DB60E5">
        <w:rPr>
          <w:rFonts w:asciiTheme="majorHAnsi" w:hAnsiTheme="majorHAnsi"/>
        </w:rPr>
        <w:t>према подацима Републичког завода за статистику</w:t>
      </w:r>
      <w:r w:rsidR="00DB60E5">
        <w:rPr>
          <w:rStyle w:val="FootnoteReference"/>
          <w:rFonts w:asciiTheme="majorHAnsi" w:hAnsiTheme="majorHAnsi"/>
        </w:rPr>
        <w:footnoteReference w:id="2"/>
      </w:r>
      <w:r w:rsidR="00E325A4" w:rsidRPr="00C67B82">
        <w:rPr>
          <w:rFonts w:asciiTheme="majorHAnsi" w:hAnsiTheme="majorHAnsi"/>
        </w:rPr>
        <w:t>, у 2009.</w:t>
      </w:r>
      <w:proofErr w:type="gramEnd"/>
      <w:r w:rsidR="00E325A4" w:rsidRPr="00C67B82">
        <w:rPr>
          <w:rFonts w:asciiTheme="majorHAnsi" w:hAnsiTheme="majorHAnsi"/>
        </w:rPr>
        <w:t xml:space="preserve"> </w:t>
      </w:r>
      <w:proofErr w:type="gramStart"/>
      <w:r w:rsidR="00E325A4" w:rsidRPr="00C67B82">
        <w:rPr>
          <w:rFonts w:asciiTheme="majorHAnsi" w:hAnsiTheme="majorHAnsi"/>
        </w:rPr>
        <w:t>години</w:t>
      </w:r>
      <w:proofErr w:type="gramEnd"/>
      <w:r w:rsidR="00E325A4" w:rsidRPr="00C67B82">
        <w:rPr>
          <w:rFonts w:asciiTheme="majorHAnsi" w:hAnsiTheme="majorHAnsi"/>
        </w:rPr>
        <w:t xml:space="preserve"> је дошло до значајног пада активности не само у грађевинарству, већ и у индустр</w:t>
      </w:r>
      <w:r w:rsidR="00976D40" w:rsidRPr="00C67B82">
        <w:rPr>
          <w:rFonts w:asciiTheme="majorHAnsi" w:hAnsiTheme="majorHAnsi"/>
        </w:rPr>
        <w:t>ији, искоришћавању шума, промету трговина на мало, увозу, угоститељству</w:t>
      </w:r>
      <w:r w:rsidR="00E325A4" w:rsidRPr="00C67B82">
        <w:rPr>
          <w:rFonts w:asciiTheme="majorHAnsi" w:hAnsiTheme="majorHAnsi"/>
        </w:rPr>
        <w:t>, тур</w:t>
      </w:r>
      <w:r w:rsidR="00976D40" w:rsidRPr="00C67B82">
        <w:rPr>
          <w:rFonts w:asciiTheme="majorHAnsi" w:hAnsiTheme="majorHAnsi"/>
        </w:rPr>
        <w:t>изму, пољопривреди и рибарству</w:t>
      </w:r>
      <w:r w:rsidR="00E325A4" w:rsidRPr="00C67B82">
        <w:rPr>
          <w:rFonts w:asciiTheme="majorHAnsi" w:hAnsiTheme="majorHAnsi"/>
        </w:rPr>
        <w:t xml:space="preserve">. </w:t>
      </w:r>
      <w:proofErr w:type="gramStart"/>
      <w:r w:rsidR="00E325A4" w:rsidRPr="00C67B82">
        <w:rPr>
          <w:rFonts w:asciiTheme="majorHAnsi" w:hAnsiTheme="majorHAnsi"/>
        </w:rPr>
        <w:t>Тај тренд пада је у 2010.</w:t>
      </w:r>
      <w:proofErr w:type="gramEnd"/>
      <w:r w:rsidR="00E325A4" w:rsidRPr="00C67B82">
        <w:rPr>
          <w:rFonts w:asciiTheme="majorHAnsi" w:hAnsiTheme="majorHAnsi"/>
        </w:rPr>
        <w:t xml:space="preserve"> </w:t>
      </w:r>
      <w:proofErr w:type="gramStart"/>
      <w:r w:rsidR="00E325A4" w:rsidRPr="00C67B82">
        <w:rPr>
          <w:rFonts w:asciiTheme="majorHAnsi" w:hAnsiTheme="majorHAnsi"/>
        </w:rPr>
        <w:t>настављен</w:t>
      </w:r>
      <w:proofErr w:type="gramEnd"/>
      <w:r w:rsidR="00E325A4" w:rsidRPr="00C67B82">
        <w:rPr>
          <w:rFonts w:asciiTheme="majorHAnsi" w:hAnsiTheme="majorHAnsi"/>
        </w:rPr>
        <w:t xml:space="preserve"> у грађевинарству, пољопривреди, угоститељству и туризму, у 2011. </w:t>
      </w:r>
      <w:proofErr w:type="gramStart"/>
      <w:r w:rsidR="00E325A4" w:rsidRPr="00C67B82">
        <w:rPr>
          <w:rFonts w:asciiTheme="majorHAnsi" w:hAnsiTheme="majorHAnsi"/>
        </w:rPr>
        <w:t>је</w:t>
      </w:r>
      <w:proofErr w:type="gramEnd"/>
      <w:r w:rsidR="00E325A4" w:rsidRPr="00C67B82">
        <w:rPr>
          <w:rFonts w:asciiTheme="majorHAnsi" w:hAnsiTheme="majorHAnsi"/>
        </w:rPr>
        <w:t xml:space="preserve"> значајан пад доживео промет робе на мало, док су остале гране забележиле пораст, </w:t>
      </w:r>
      <w:r w:rsidR="00976D40" w:rsidRPr="00C67B82">
        <w:rPr>
          <w:rFonts w:asciiTheme="majorHAnsi" w:hAnsiTheme="majorHAnsi"/>
        </w:rPr>
        <w:t>а</w:t>
      </w:r>
      <w:r w:rsidR="00E325A4" w:rsidRPr="00C67B82">
        <w:rPr>
          <w:rFonts w:asciiTheme="majorHAnsi" w:hAnsiTheme="majorHAnsi"/>
        </w:rPr>
        <w:t xml:space="preserve"> у 2012. </w:t>
      </w:r>
      <w:proofErr w:type="gramStart"/>
      <w:r w:rsidR="00E325A4" w:rsidRPr="00C67B82">
        <w:rPr>
          <w:rFonts w:asciiTheme="majorHAnsi" w:hAnsiTheme="majorHAnsi"/>
        </w:rPr>
        <w:t>дошло</w:t>
      </w:r>
      <w:proofErr w:type="gramEnd"/>
      <w:r w:rsidR="00E325A4" w:rsidRPr="00C67B82">
        <w:rPr>
          <w:rFonts w:asciiTheme="majorHAnsi" w:hAnsiTheme="majorHAnsi"/>
        </w:rPr>
        <w:t xml:space="preserve"> до великог пада у области пољопривреде. </w:t>
      </w:r>
      <w:r w:rsidR="00A202BA" w:rsidRPr="00C67B82">
        <w:rPr>
          <w:rFonts w:asciiTheme="majorHAnsi" w:hAnsiTheme="majorHAnsi"/>
        </w:rPr>
        <w:t>Међутим, државни органи су предложили и донели закон који поставља посебна правила само у области грађевинске индустрије, а не и правила за набавке д</w:t>
      </w:r>
      <w:r w:rsidR="00D03185" w:rsidRPr="00C67B82">
        <w:rPr>
          <w:rFonts w:asciiTheme="majorHAnsi" w:hAnsiTheme="majorHAnsi"/>
        </w:rPr>
        <w:t>ругих врсте производа и услуга</w:t>
      </w:r>
      <w:r w:rsidR="00C818B8">
        <w:rPr>
          <w:rFonts w:asciiTheme="majorHAnsi" w:hAnsiTheme="majorHAnsi"/>
          <w:lang w:val="sr-Cyrl-CS"/>
        </w:rPr>
        <w:t xml:space="preserve"> </w:t>
      </w:r>
      <w:r w:rsidR="00D03185" w:rsidRPr="00C67B82">
        <w:rPr>
          <w:rFonts w:asciiTheme="majorHAnsi" w:hAnsiTheme="majorHAnsi"/>
        </w:rPr>
        <w:t xml:space="preserve">иако би се тешко могло тврдити да је опстанак грађевинске индустрије битнији за „очување економске стабилности државе и обезбеђивање социјалне заштите грађана“ од нпр. </w:t>
      </w:r>
      <w:proofErr w:type="gramStart"/>
      <w:r w:rsidR="00D03185" w:rsidRPr="00C67B82">
        <w:rPr>
          <w:rFonts w:asciiTheme="majorHAnsi" w:hAnsiTheme="majorHAnsi"/>
        </w:rPr>
        <w:t>опстанка</w:t>
      </w:r>
      <w:proofErr w:type="gramEnd"/>
      <w:r w:rsidR="00D03185" w:rsidRPr="00C67B82">
        <w:rPr>
          <w:rFonts w:asciiTheme="majorHAnsi" w:hAnsiTheme="majorHAnsi"/>
        </w:rPr>
        <w:t xml:space="preserve"> пољопривредне производње. </w:t>
      </w:r>
      <w:proofErr w:type="gramStart"/>
      <w:r w:rsidR="007A098C" w:rsidRPr="00C67B82">
        <w:rPr>
          <w:rFonts w:asciiTheme="majorHAnsi" w:hAnsiTheme="majorHAnsi"/>
        </w:rPr>
        <w:t xml:space="preserve">Ако је постојала </w:t>
      </w:r>
      <w:r w:rsidR="007A098C" w:rsidRPr="00C67B82">
        <w:rPr>
          <w:rFonts w:asciiTheme="majorHAnsi" w:hAnsiTheme="majorHAnsi"/>
          <w:i/>
        </w:rPr>
        <w:t>обавеза</w:t>
      </w:r>
      <w:r w:rsidR="007A098C" w:rsidRPr="00C67B82">
        <w:rPr>
          <w:rFonts w:asciiTheme="majorHAnsi" w:hAnsiTheme="majorHAnsi"/>
        </w:rPr>
        <w:t xml:space="preserve"> предузимања оваквих законодавних мера, онда су фирме из </w:t>
      </w:r>
      <w:r w:rsidR="00F1254E" w:rsidRPr="00C67B82">
        <w:rPr>
          <w:rFonts w:asciiTheme="majorHAnsi" w:hAnsiTheme="majorHAnsi"/>
        </w:rPr>
        <w:t>из осталих привредних грана</w:t>
      </w:r>
      <w:r w:rsidR="007A098C" w:rsidRPr="00C67B82">
        <w:rPr>
          <w:rFonts w:asciiTheme="majorHAnsi" w:hAnsiTheme="majorHAnsi"/>
        </w:rPr>
        <w:t>, које нису имале прилику да се надмећу у поступцима јавних набавки без стране конкуренције, оштећене и имају право да траже накнаду штете од државе</w:t>
      </w:r>
      <w:r w:rsidR="00F1254E" w:rsidRPr="00C67B82">
        <w:rPr>
          <w:rFonts w:asciiTheme="majorHAnsi" w:hAnsiTheme="majorHAnsi"/>
        </w:rPr>
        <w:t>.</w:t>
      </w:r>
      <w:proofErr w:type="gramEnd"/>
      <w:r w:rsidR="00F1254E" w:rsidRPr="00C67B82">
        <w:rPr>
          <w:rFonts w:asciiTheme="majorHAnsi" w:hAnsiTheme="majorHAnsi"/>
        </w:rPr>
        <w:t xml:space="preserve"> </w:t>
      </w:r>
    </w:p>
    <w:p w:rsidR="003276AE" w:rsidRPr="00C67B82" w:rsidRDefault="003276AE" w:rsidP="003276AE">
      <w:pPr>
        <w:rPr>
          <w:rFonts w:asciiTheme="majorHAnsi" w:hAnsiTheme="majorHAnsi"/>
        </w:rPr>
      </w:pPr>
    </w:p>
    <w:p w:rsidR="00D03185" w:rsidRPr="00C67B82" w:rsidRDefault="00BD7674" w:rsidP="003276AE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sr-Cyrl-CS"/>
        </w:rPr>
        <w:t xml:space="preserve">9. </w:t>
      </w:r>
      <w:r w:rsidR="00D03185" w:rsidRPr="00C67B82">
        <w:rPr>
          <w:rFonts w:asciiTheme="majorHAnsi" w:hAnsiTheme="majorHAnsi"/>
          <w:i/>
        </w:rPr>
        <w:t>Међудржавни споразуми</w:t>
      </w:r>
    </w:p>
    <w:p w:rsidR="003276AE" w:rsidRDefault="003276AE" w:rsidP="003276AE">
      <w:pPr>
        <w:rPr>
          <w:rFonts w:asciiTheme="majorHAnsi" w:hAnsiTheme="majorHAnsi"/>
        </w:rPr>
      </w:pPr>
    </w:p>
    <w:p w:rsidR="00D03185" w:rsidRPr="00C67B82" w:rsidRDefault="00D03185" w:rsidP="003276AE">
      <w:pPr>
        <w:rPr>
          <w:rFonts w:asciiTheme="majorHAnsi" w:hAnsiTheme="majorHAnsi"/>
        </w:rPr>
      </w:pPr>
      <w:proofErr w:type="gramStart"/>
      <w:r w:rsidRPr="00C67B82">
        <w:rPr>
          <w:rFonts w:asciiTheme="majorHAnsi" w:hAnsiTheme="majorHAnsi"/>
        </w:rPr>
        <w:t>Уставни суд је констатовао да члан 35</w:t>
      </w:r>
      <w:r w:rsidR="00492644">
        <w:rPr>
          <w:rFonts w:asciiTheme="majorHAnsi" w:hAnsiTheme="majorHAnsi"/>
          <w:lang w:val="sr-Cyrl-CS"/>
        </w:rPr>
        <w:t>.</w:t>
      </w:r>
      <w:proofErr w:type="gramEnd"/>
      <w:r w:rsidRPr="00C67B82">
        <w:rPr>
          <w:rFonts w:asciiTheme="majorHAnsi" w:hAnsiTheme="majorHAnsi"/>
        </w:rPr>
        <w:t xml:space="preserve"> Споразума ЦЕФТА налаже да ће свака страна „обезбедити да се јавне набавке њихових органа обављају на транспарентан и разуман начин“ да ће „обезбедити једнак третман свим понуђа</w:t>
      </w:r>
      <w:r w:rsidR="00701A5A" w:rsidRPr="00C67B82">
        <w:rPr>
          <w:rFonts w:asciiTheme="majorHAnsi" w:hAnsiTheme="majorHAnsi"/>
        </w:rPr>
        <w:t>ч</w:t>
      </w:r>
      <w:r w:rsidRPr="00C67B82">
        <w:rPr>
          <w:rFonts w:asciiTheme="majorHAnsi" w:hAnsiTheme="majorHAnsi"/>
        </w:rPr>
        <w:t>има других страна</w:t>
      </w:r>
      <w:r w:rsidR="006515BF" w:rsidRPr="00C67B82">
        <w:rPr>
          <w:rFonts w:asciiTheme="majorHAnsi" w:hAnsiTheme="majorHAnsi"/>
        </w:rPr>
        <w:t xml:space="preserve">“ и да ће „бити засноване на принципима отворене и делотворне конкуренције“. </w:t>
      </w:r>
      <w:proofErr w:type="gramStart"/>
      <w:r w:rsidR="006515BF" w:rsidRPr="00C67B82">
        <w:rPr>
          <w:rFonts w:asciiTheme="majorHAnsi" w:hAnsiTheme="majorHAnsi"/>
        </w:rPr>
        <w:t>Пошто је навео да члан 35</w:t>
      </w:r>
      <w:r w:rsidR="00701A5A" w:rsidRPr="00C67B82">
        <w:rPr>
          <w:rFonts w:asciiTheme="majorHAnsi" w:hAnsiTheme="majorHAnsi"/>
        </w:rPr>
        <w:t>.</w:t>
      </w:r>
      <w:proofErr w:type="gramEnd"/>
      <w:r w:rsidR="006515BF" w:rsidRPr="00C67B82">
        <w:rPr>
          <w:rFonts w:asciiTheme="majorHAnsi" w:hAnsiTheme="majorHAnsi"/>
        </w:rPr>
        <w:t xml:space="preserve"> Споразума ограничава примену тог акта „искључиво на оне мере стране уговорнице које специфично регулишу набавку“, а да Закон о подстицању грађевинске индустрије „не уређује непосредно материју јавне набавке“,  Уставни суд је закључио да је овај део иницијативе за оспоравање уставности „очигледно неоснован“. И поред најбоље воље, нисмо успели да разумемо из чега је Уставни суд могао да изведе тврдњу да Закон о подстицању г</w:t>
      </w:r>
      <w:r w:rsidR="009728A8">
        <w:rPr>
          <w:rFonts w:asciiTheme="majorHAnsi" w:hAnsiTheme="majorHAnsi"/>
        </w:rPr>
        <w:t>рађевинске индустрије, чији главни ефекат је управо уређивање правила к</w:t>
      </w:r>
      <w:r w:rsidR="006515BF" w:rsidRPr="00C67B82">
        <w:rPr>
          <w:rFonts w:asciiTheme="majorHAnsi" w:hAnsiTheme="majorHAnsi"/>
        </w:rPr>
        <w:t>оја ће се примењивати за поједине јавне набавке, „не уређује непосредно</w:t>
      </w:r>
      <w:proofErr w:type="gramStart"/>
      <w:r w:rsidR="006515BF" w:rsidRPr="00C67B82">
        <w:rPr>
          <w:rFonts w:asciiTheme="majorHAnsi" w:hAnsiTheme="majorHAnsi"/>
        </w:rPr>
        <w:t>“ ту</w:t>
      </w:r>
      <w:proofErr w:type="gramEnd"/>
      <w:r w:rsidR="006515BF" w:rsidRPr="00C67B82">
        <w:rPr>
          <w:rFonts w:asciiTheme="majorHAnsi" w:hAnsiTheme="majorHAnsi"/>
        </w:rPr>
        <w:t xml:space="preserve"> материју. Република Србија </w:t>
      </w:r>
      <w:r w:rsidR="001E047F" w:rsidRPr="00C67B82">
        <w:rPr>
          <w:rFonts w:asciiTheme="majorHAnsi" w:hAnsiTheme="majorHAnsi"/>
        </w:rPr>
        <w:t xml:space="preserve">свакако </w:t>
      </w:r>
      <w:r w:rsidR="006515BF" w:rsidRPr="00C67B82">
        <w:rPr>
          <w:rFonts w:asciiTheme="majorHAnsi" w:hAnsiTheme="majorHAnsi"/>
        </w:rPr>
        <w:t>не мора да буде чланица ЦЕФТА Споразума, друге државе чланице можда крше тај Споразум, али то ни у којем случају не може да значи да је један</w:t>
      </w:r>
      <w:bookmarkStart w:id="0" w:name="_GoBack"/>
      <w:bookmarkEnd w:id="0"/>
      <w:r w:rsidR="006515BF" w:rsidRPr="00C67B82">
        <w:rPr>
          <w:rFonts w:asciiTheme="majorHAnsi" w:hAnsiTheme="majorHAnsi"/>
        </w:rPr>
        <w:t xml:space="preserve"> Закон, који је на тако очигледан начин супротан супериорном правном акту </w:t>
      </w:r>
      <w:r w:rsidR="001E047F" w:rsidRPr="00C67B82">
        <w:rPr>
          <w:rFonts w:asciiTheme="majorHAnsi" w:hAnsiTheme="majorHAnsi"/>
        </w:rPr>
        <w:t xml:space="preserve">може да буде уставан. </w:t>
      </w:r>
    </w:p>
    <w:p w:rsidR="007E49F9" w:rsidRPr="00E34846" w:rsidRDefault="007E49F9" w:rsidP="003276AE">
      <w:pPr>
        <w:rPr>
          <w:rFonts w:asciiTheme="majorHAnsi" w:hAnsiTheme="majorHAnsi"/>
          <w:lang w:val="sr-Cyrl-RS"/>
        </w:rPr>
      </w:pPr>
    </w:p>
    <w:p w:rsidR="00E34846" w:rsidRPr="00E34846" w:rsidRDefault="00E34846" w:rsidP="003276AE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У нади да ћете наводе из овог писма размотрити и да ће то допринети остваривању незаобилазне улоге Уставног суда у изградњи правне државе, срдачно вас поздрављамо. </w:t>
      </w:r>
    </w:p>
    <w:p w:rsidR="00E34846" w:rsidRDefault="00E34846" w:rsidP="003276AE">
      <w:pPr>
        <w:rPr>
          <w:rFonts w:asciiTheme="majorHAnsi" w:hAnsiTheme="majorHAnsi"/>
          <w:lang w:val="sr-Cyrl-RS"/>
        </w:rPr>
      </w:pPr>
    </w:p>
    <w:p w:rsidR="00E34846" w:rsidRPr="00E34846" w:rsidRDefault="00E34846" w:rsidP="003276AE">
      <w:pPr>
        <w:rPr>
          <w:rFonts w:asciiTheme="majorHAnsi" w:hAnsiTheme="majorHAnsi"/>
          <w:lang w:val="sr-Cyrl-RS"/>
        </w:rPr>
      </w:pPr>
    </w:p>
    <w:p w:rsidR="00E34846" w:rsidRPr="00E34846" w:rsidRDefault="00E34846" w:rsidP="003276AE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693"/>
        <w:gridCol w:w="3180"/>
      </w:tblGrid>
      <w:tr w:rsidR="007E49F9" w:rsidTr="003276AE">
        <w:tc>
          <w:tcPr>
            <w:tcW w:w="3369" w:type="dxa"/>
          </w:tcPr>
          <w:p w:rsidR="007E49F9" w:rsidRDefault="007E49F9" w:rsidP="003276AE">
            <w:pPr>
              <w:spacing w:line="23" w:lineRule="atLeast"/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01.04.2013. године</w:t>
            </w:r>
          </w:p>
        </w:tc>
        <w:tc>
          <w:tcPr>
            <w:tcW w:w="2693" w:type="dxa"/>
          </w:tcPr>
          <w:p w:rsidR="007E49F9" w:rsidRDefault="007E49F9" w:rsidP="003276AE">
            <w:pPr>
              <w:spacing w:line="23" w:lineRule="atLeast"/>
              <w:rPr>
                <w:rFonts w:asciiTheme="majorHAnsi" w:hAnsiTheme="majorHAnsi"/>
                <w:lang w:val="sr-Cyrl-CS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7E49F9" w:rsidRDefault="007E49F9" w:rsidP="003276AE">
            <w:pPr>
              <w:spacing w:line="23" w:lineRule="atLeast"/>
              <w:jc w:val="center"/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За подносиоце Иницијативе</w:t>
            </w:r>
          </w:p>
          <w:p w:rsidR="007E49F9" w:rsidRDefault="00492644" w:rsidP="003276AE">
            <w:pPr>
              <w:spacing w:line="23" w:lineRule="atLeast"/>
              <w:jc w:val="center"/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Немања Ненадић</w:t>
            </w:r>
          </w:p>
          <w:p w:rsidR="007E49F9" w:rsidRDefault="007E49F9" w:rsidP="003276AE">
            <w:pPr>
              <w:spacing w:line="23" w:lineRule="atLeast"/>
              <w:jc w:val="center"/>
              <w:rPr>
                <w:rFonts w:asciiTheme="majorHAnsi" w:hAnsiTheme="majorHAnsi"/>
                <w:lang w:val="sr-Cyrl-CS"/>
              </w:rPr>
            </w:pPr>
          </w:p>
          <w:p w:rsidR="007E49F9" w:rsidRDefault="007E49F9" w:rsidP="003276AE">
            <w:pPr>
              <w:spacing w:line="23" w:lineRule="atLeast"/>
              <w:jc w:val="center"/>
              <w:rPr>
                <w:rFonts w:asciiTheme="majorHAnsi" w:hAnsiTheme="majorHAnsi"/>
                <w:lang w:val="sr-Cyrl-CS"/>
              </w:rPr>
            </w:pPr>
          </w:p>
        </w:tc>
      </w:tr>
    </w:tbl>
    <w:p w:rsidR="007E49F9" w:rsidRPr="007E49F9" w:rsidRDefault="007E49F9" w:rsidP="003276AE">
      <w:pPr>
        <w:rPr>
          <w:rFonts w:asciiTheme="majorHAnsi" w:hAnsiTheme="majorHAnsi"/>
          <w:lang w:val="sr-Cyrl-CS"/>
        </w:rPr>
      </w:pPr>
    </w:p>
    <w:sectPr w:rsidR="007E49F9" w:rsidRPr="007E49F9" w:rsidSect="00470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7A" w:rsidRDefault="007F057A" w:rsidP="007A098C">
      <w:pPr>
        <w:spacing w:line="240" w:lineRule="auto"/>
      </w:pPr>
      <w:r>
        <w:separator/>
      </w:r>
    </w:p>
  </w:endnote>
  <w:endnote w:type="continuationSeparator" w:id="0">
    <w:p w:rsidR="007F057A" w:rsidRDefault="007F057A" w:rsidP="007A0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7A" w:rsidRDefault="007F057A" w:rsidP="007A098C">
      <w:pPr>
        <w:spacing w:line="240" w:lineRule="auto"/>
      </w:pPr>
      <w:r>
        <w:separator/>
      </w:r>
    </w:p>
  </w:footnote>
  <w:footnote w:type="continuationSeparator" w:id="0">
    <w:p w:rsidR="007F057A" w:rsidRDefault="007F057A" w:rsidP="007A098C">
      <w:pPr>
        <w:spacing w:line="240" w:lineRule="auto"/>
      </w:pPr>
      <w:r>
        <w:continuationSeparator/>
      </w:r>
    </w:p>
  </w:footnote>
  <w:footnote w:id="1">
    <w:p w:rsidR="002863DE" w:rsidRPr="002863DE" w:rsidRDefault="002863DE">
      <w:pPr>
        <w:pStyle w:val="FootnoteText"/>
        <w:rPr>
          <w:rFonts w:asciiTheme="majorHAnsi" w:hAnsiTheme="majorHAnsi"/>
          <w:sz w:val="18"/>
          <w:szCs w:val="18"/>
          <w:lang w:val="sr-Cyrl-CS"/>
        </w:rPr>
      </w:pPr>
      <w:r w:rsidRPr="002863DE">
        <w:rPr>
          <w:rStyle w:val="FootnoteReference"/>
          <w:rFonts w:asciiTheme="majorHAnsi" w:hAnsiTheme="majorHAnsi"/>
          <w:sz w:val="18"/>
          <w:szCs w:val="18"/>
        </w:rPr>
        <w:footnoteRef/>
      </w:r>
      <w:r w:rsidRPr="002863DE">
        <w:rPr>
          <w:rFonts w:asciiTheme="majorHAnsi" w:hAnsiTheme="majorHAnsi"/>
          <w:sz w:val="18"/>
          <w:szCs w:val="18"/>
        </w:rPr>
        <w:t xml:space="preserve"> </w:t>
      </w:r>
      <w:r w:rsidRPr="002863DE">
        <w:rPr>
          <w:rFonts w:asciiTheme="majorHAnsi" w:hAnsiTheme="majorHAnsi"/>
          <w:sz w:val="18"/>
          <w:szCs w:val="18"/>
          <w:lang w:val="sr-Cyrl-CS"/>
        </w:rPr>
        <w:t>Иницијатива за оцену уставности и законитости Закона</w:t>
      </w:r>
      <w:r w:rsidRPr="002863DE">
        <w:rPr>
          <w:rFonts w:asciiTheme="majorHAnsi" w:hAnsiTheme="majorHAnsi"/>
          <w:sz w:val="18"/>
          <w:szCs w:val="18"/>
        </w:rPr>
        <w:t xml:space="preserve"> о подстицању грађевинске индустрије Републике Србије у условима економске кризе</w:t>
      </w:r>
      <w:r w:rsidRPr="002863DE">
        <w:rPr>
          <w:rFonts w:asciiTheme="majorHAnsi" w:hAnsiTheme="majorHAnsi"/>
          <w:sz w:val="18"/>
          <w:szCs w:val="18"/>
          <w:lang w:val="sr-Cyrl-CS"/>
        </w:rPr>
        <w:t xml:space="preserve"> поднета је 07.07.2010. године</w:t>
      </w:r>
      <w:r>
        <w:rPr>
          <w:rFonts w:asciiTheme="majorHAnsi" w:hAnsiTheme="majorHAnsi"/>
          <w:sz w:val="18"/>
          <w:szCs w:val="18"/>
          <w:lang w:val="sr-Cyrl-CS"/>
        </w:rPr>
        <w:t>.</w:t>
      </w:r>
    </w:p>
  </w:footnote>
  <w:footnote w:id="2">
    <w:p w:rsidR="00DB60E5" w:rsidRPr="00DB60E5" w:rsidRDefault="00DB60E5">
      <w:pPr>
        <w:pStyle w:val="FootnoteText"/>
        <w:rPr>
          <w:rFonts w:asciiTheme="majorHAnsi" w:hAnsiTheme="majorHAnsi"/>
          <w:sz w:val="18"/>
          <w:szCs w:val="18"/>
          <w:lang w:val="sr-Cyrl-CS"/>
        </w:rPr>
      </w:pPr>
      <w:r w:rsidRPr="00DB60E5">
        <w:rPr>
          <w:rStyle w:val="FootnoteReference"/>
          <w:rFonts w:asciiTheme="majorHAnsi" w:hAnsiTheme="majorHAnsi"/>
          <w:sz w:val="18"/>
          <w:szCs w:val="18"/>
        </w:rPr>
        <w:footnoteRef/>
      </w:r>
      <w:r w:rsidRPr="00DB60E5">
        <w:rPr>
          <w:rFonts w:asciiTheme="majorHAnsi" w:hAnsiTheme="majorHAnsi"/>
          <w:sz w:val="18"/>
          <w:szCs w:val="18"/>
        </w:rPr>
        <w:t xml:space="preserve"> http://webrzs.stat.gov.rs/WebSite/repository/documents/00/00/89/70/KS10_350-_2012_srb+cir.pdf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40F65"/>
    <w:multiLevelType w:val="hybridMultilevel"/>
    <w:tmpl w:val="7ACED870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6C706215"/>
    <w:multiLevelType w:val="hybridMultilevel"/>
    <w:tmpl w:val="0732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proofState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CD"/>
    <w:rsid w:val="00000FAD"/>
    <w:rsid w:val="000136CD"/>
    <w:rsid w:val="00040198"/>
    <w:rsid w:val="000449E3"/>
    <w:rsid w:val="00094B05"/>
    <w:rsid w:val="000A691F"/>
    <w:rsid w:val="000B5746"/>
    <w:rsid w:val="000B633A"/>
    <w:rsid w:val="000D0886"/>
    <w:rsid w:val="000D1E1A"/>
    <w:rsid w:val="000F1AAD"/>
    <w:rsid w:val="00106E6D"/>
    <w:rsid w:val="001433F4"/>
    <w:rsid w:val="00152510"/>
    <w:rsid w:val="00162D74"/>
    <w:rsid w:val="001B3396"/>
    <w:rsid w:val="001E047F"/>
    <w:rsid w:val="00232FC7"/>
    <w:rsid w:val="00244FB3"/>
    <w:rsid w:val="0027670F"/>
    <w:rsid w:val="002863DE"/>
    <w:rsid w:val="002A40D6"/>
    <w:rsid w:val="002A5084"/>
    <w:rsid w:val="002B6E5D"/>
    <w:rsid w:val="002D7898"/>
    <w:rsid w:val="002E5137"/>
    <w:rsid w:val="002E5D9A"/>
    <w:rsid w:val="003004D9"/>
    <w:rsid w:val="00300C84"/>
    <w:rsid w:val="0030184A"/>
    <w:rsid w:val="00306E7C"/>
    <w:rsid w:val="00324C47"/>
    <w:rsid w:val="003276AE"/>
    <w:rsid w:val="0035067C"/>
    <w:rsid w:val="0035385E"/>
    <w:rsid w:val="00363C4F"/>
    <w:rsid w:val="003658DA"/>
    <w:rsid w:val="003C4EC4"/>
    <w:rsid w:val="00416829"/>
    <w:rsid w:val="00470A31"/>
    <w:rsid w:val="00477719"/>
    <w:rsid w:val="00492644"/>
    <w:rsid w:val="00496E80"/>
    <w:rsid w:val="004D040A"/>
    <w:rsid w:val="004E56B1"/>
    <w:rsid w:val="004E5B12"/>
    <w:rsid w:val="004E6686"/>
    <w:rsid w:val="004E6A35"/>
    <w:rsid w:val="00522B2B"/>
    <w:rsid w:val="005B707D"/>
    <w:rsid w:val="005D4D9A"/>
    <w:rsid w:val="005E0EA9"/>
    <w:rsid w:val="005E798F"/>
    <w:rsid w:val="005E7B99"/>
    <w:rsid w:val="005F4C80"/>
    <w:rsid w:val="005F7131"/>
    <w:rsid w:val="00612668"/>
    <w:rsid w:val="00616EC6"/>
    <w:rsid w:val="00620974"/>
    <w:rsid w:val="00636B5A"/>
    <w:rsid w:val="006410C9"/>
    <w:rsid w:val="006515BF"/>
    <w:rsid w:val="0068179D"/>
    <w:rsid w:val="00701A5A"/>
    <w:rsid w:val="007230D7"/>
    <w:rsid w:val="00732652"/>
    <w:rsid w:val="00773637"/>
    <w:rsid w:val="00787077"/>
    <w:rsid w:val="007A098C"/>
    <w:rsid w:val="007B7460"/>
    <w:rsid w:val="007D5F3A"/>
    <w:rsid w:val="007E23CB"/>
    <w:rsid w:val="007E49F9"/>
    <w:rsid w:val="007F057A"/>
    <w:rsid w:val="008129FB"/>
    <w:rsid w:val="00826254"/>
    <w:rsid w:val="008312BC"/>
    <w:rsid w:val="008632F3"/>
    <w:rsid w:val="008977BA"/>
    <w:rsid w:val="008B50D9"/>
    <w:rsid w:val="008B6E6A"/>
    <w:rsid w:val="008D1BE8"/>
    <w:rsid w:val="008F4B43"/>
    <w:rsid w:val="009068E5"/>
    <w:rsid w:val="00941018"/>
    <w:rsid w:val="00941C79"/>
    <w:rsid w:val="009728A8"/>
    <w:rsid w:val="00976D40"/>
    <w:rsid w:val="009A1571"/>
    <w:rsid w:val="009C0F60"/>
    <w:rsid w:val="009F7D26"/>
    <w:rsid w:val="00A16F6C"/>
    <w:rsid w:val="00A202BA"/>
    <w:rsid w:val="00A22AFA"/>
    <w:rsid w:val="00A30B25"/>
    <w:rsid w:val="00A6484B"/>
    <w:rsid w:val="00A7417B"/>
    <w:rsid w:val="00A814A2"/>
    <w:rsid w:val="00A92316"/>
    <w:rsid w:val="00AE6A29"/>
    <w:rsid w:val="00B06C61"/>
    <w:rsid w:val="00B21358"/>
    <w:rsid w:val="00B268AD"/>
    <w:rsid w:val="00B27039"/>
    <w:rsid w:val="00B70EB8"/>
    <w:rsid w:val="00BA6C7D"/>
    <w:rsid w:val="00BC1FD9"/>
    <w:rsid w:val="00BC2076"/>
    <w:rsid w:val="00BC3155"/>
    <w:rsid w:val="00BD3CD3"/>
    <w:rsid w:val="00BD7674"/>
    <w:rsid w:val="00BE6CB3"/>
    <w:rsid w:val="00BF5516"/>
    <w:rsid w:val="00C27894"/>
    <w:rsid w:val="00C40248"/>
    <w:rsid w:val="00C47ECF"/>
    <w:rsid w:val="00C66B6E"/>
    <w:rsid w:val="00C67B82"/>
    <w:rsid w:val="00C818B8"/>
    <w:rsid w:val="00C93ED9"/>
    <w:rsid w:val="00CB54D4"/>
    <w:rsid w:val="00CE1BE2"/>
    <w:rsid w:val="00CE431C"/>
    <w:rsid w:val="00D03185"/>
    <w:rsid w:val="00D0478C"/>
    <w:rsid w:val="00D1362F"/>
    <w:rsid w:val="00D136B9"/>
    <w:rsid w:val="00D16E2C"/>
    <w:rsid w:val="00D314C7"/>
    <w:rsid w:val="00D411E3"/>
    <w:rsid w:val="00D52522"/>
    <w:rsid w:val="00D60776"/>
    <w:rsid w:val="00DB3098"/>
    <w:rsid w:val="00DB4F44"/>
    <w:rsid w:val="00DB60E5"/>
    <w:rsid w:val="00E10FA4"/>
    <w:rsid w:val="00E30BAF"/>
    <w:rsid w:val="00E3171A"/>
    <w:rsid w:val="00E325A4"/>
    <w:rsid w:val="00E34846"/>
    <w:rsid w:val="00E4074A"/>
    <w:rsid w:val="00E51F4D"/>
    <w:rsid w:val="00E67825"/>
    <w:rsid w:val="00E72A5E"/>
    <w:rsid w:val="00ED5FA6"/>
    <w:rsid w:val="00EE474B"/>
    <w:rsid w:val="00F1254E"/>
    <w:rsid w:val="00F276E8"/>
    <w:rsid w:val="00F345BA"/>
    <w:rsid w:val="00F349D6"/>
    <w:rsid w:val="00F44585"/>
    <w:rsid w:val="00F47EF7"/>
    <w:rsid w:val="00F51745"/>
    <w:rsid w:val="00FD3E93"/>
    <w:rsid w:val="00FE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D1362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A202BA"/>
    <w:rPr>
      <w:color w:val="0000FF" w:themeColor="hyperlink"/>
      <w:u w:val="single"/>
    </w:rPr>
  </w:style>
  <w:style w:type="paragraph" w:customStyle="1" w:styleId="Normal10">
    <w:name w:val="Normal1"/>
    <w:basedOn w:val="Normal"/>
    <w:rsid w:val="00BF551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clan">
    <w:name w:val="clan"/>
    <w:basedOn w:val="Normal"/>
    <w:rsid w:val="001E047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98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9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98C"/>
    <w:rPr>
      <w:vertAlign w:val="superscript"/>
    </w:rPr>
  </w:style>
  <w:style w:type="table" w:styleId="TableGrid">
    <w:name w:val="Table Grid"/>
    <w:basedOn w:val="TableNormal"/>
    <w:rsid w:val="007E49F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4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0E5"/>
    <w:rPr>
      <w:color w:val="800080" w:themeColor="followedHyperlink"/>
      <w:u w:val="single"/>
    </w:rPr>
  </w:style>
  <w:style w:type="paragraph" w:customStyle="1" w:styleId="CharChar">
    <w:name w:val="Char Char"/>
    <w:basedOn w:val="Normal"/>
    <w:rsid w:val="003276A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D1362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A202BA"/>
    <w:rPr>
      <w:color w:val="0000FF" w:themeColor="hyperlink"/>
      <w:u w:val="single"/>
    </w:rPr>
  </w:style>
  <w:style w:type="paragraph" w:customStyle="1" w:styleId="Normal10">
    <w:name w:val="Normal1"/>
    <w:basedOn w:val="Normal"/>
    <w:rsid w:val="00BF551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clan">
    <w:name w:val="clan"/>
    <w:basedOn w:val="Normal"/>
    <w:rsid w:val="001E047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98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9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98C"/>
    <w:rPr>
      <w:vertAlign w:val="superscript"/>
    </w:rPr>
  </w:style>
  <w:style w:type="table" w:styleId="TableGrid">
    <w:name w:val="Table Grid"/>
    <w:basedOn w:val="TableNormal"/>
    <w:rsid w:val="007E49F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4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0E5"/>
    <w:rPr>
      <w:color w:val="800080" w:themeColor="followedHyperlink"/>
      <w:u w:val="single"/>
    </w:rPr>
  </w:style>
  <w:style w:type="paragraph" w:customStyle="1" w:styleId="CharChar">
    <w:name w:val="Char Char"/>
    <w:basedOn w:val="Normal"/>
    <w:rsid w:val="003276A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D154-C0B2-4ACA-9D79-F19B54E3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Nemanja</cp:lastModifiedBy>
  <cp:revision>2</cp:revision>
  <dcterms:created xsi:type="dcterms:W3CDTF">2013-04-02T09:32:00Z</dcterms:created>
  <dcterms:modified xsi:type="dcterms:W3CDTF">2013-04-02T09:32:00Z</dcterms:modified>
</cp:coreProperties>
</file>